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3A" w:rsidRDefault="00947F3A">
      <w:pPr>
        <w:pStyle w:val="BodyText"/>
        <w:rPr>
          <w:rFonts w:ascii="Times New Roman"/>
        </w:rPr>
      </w:pPr>
    </w:p>
    <w:p w:rsidR="00947F3A" w:rsidRDefault="00947F3A">
      <w:pPr>
        <w:pStyle w:val="BodyText"/>
        <w:rPr>
          <w:rFonts w:ascii="Times New Roman"/>
        </w:rPr>
      </w:pPr>
    </w:p>
    <w:p w:rsidR="00947F3A" w:rsidRDefault="00947F3A">
      <w:pPr>
        <w:pStyle w:val="BodyText"/>
        <w:spacing w:before="4"/>
        <w:rPr>
          <w:rFonts w:ascii="Times New Roman"/>
          <w:sz w:val="23"/>
        </w:rPr>
      </w:pPr>
    </w:p>
    <w:p w:rsidR="00947F3A" w:rsidRDefault="00FB36CA">
      <w:pPr>
        <w:spacing w:before="54"/>
        <w:ind w:left="1180" w:right="500" w:hanging="44"/>
        <w:rPr>
          <w:b/>
          <w:sz w:val="28"/>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-756007</wp:posOffset>
            </wp:positionV>
            <wp:extent cx="658494" cy="9569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8494" cy="956945"/>
                    </a:xfrm>
                    <a:prstGeom prst="rect">
                      <a:avLst/>
                    </a:prstGeom>
                  </pic:spPr>
                </pic:pic>
              </a:graphicData>
            </a:graphic>
          </wp:anchor>
        </w:drawing>
      </w:r>
      <w:r>
        <w:rPr>
          <w:b/>
          <w:sz w:val="28"/>
        </w:rPr>
        <w:t>Guidelines for the Transfer and Employment of Ministers of Other Christian Churches</w:t>
      </w:r>
    </w:p>
    <w:p w:rsidR="00947F3A" w:rsidRDefault="00947F3A">
      <w:pPr>
        <w:pStyle w:val="BodyText"/>
        <w:spacing w:before="6"/>
        <w:rPr>
          <w:b/>
          <w:sz w:val="41"/>
        </w:rPr>
      </w:pPr>
    </w:p>
    <w:p w:rsidR="00947F3A" w:rsidRDefault="00FB36CA">
      <w:pPr>
        <w:pStyle w:val="Heading1"/>
      </w:pPr>
      <w:r>
        <w:t>Use of internet-based referral system by ministers of other Christian churches</w:t>
      </w:r>
    </w:p>
    <w:p w:rsidR="00947F3A" w:rsidRDefault="00947F3A">
      <w:pPr>
        <w:pStyle w:val="BodyText"/>
        <w:spacing w:before="1"/>
        <w:rPr>
          <w:b/>
          <w:sz w:val="21"/>
        </w:rPr>
      </w:pPr>
    </w:p>
    <w:p w:rsidR="00947F3A" w:rsidRDefault="00FB36CA">
      <w:pPr>
        <w:pStyle w:val="BodyText"/>
        <w:ind w:left="100" w:right="91"/>
        <w:rPr>
          <w:b/>
          <w:i/>
        </w:rPr>
      </w:pPr>
      <w:r>
        <w:t xml:space="preserve">The Presbyterian Church (U.S.A.) internet-based referral system, “Church Leadership Connection” (CLC), is available for Presbyterian Church (U.S.A.) ministers only. Ministers of other Christian churches, including </w:t>
      </w:r>
      <w:r>
        <w:rPr>
          <w:i/>
        </w:rPr>
        <w:t xml:space="preserve">A Formula of Agreement </w:t>
      </w:r>
      <w:r>
        <w:t>partners (The Refor</w:t>
      </w:r>
      <w:r>
        <w:t>med Church in America, RCA; The Evangelical Lutheran Church in America, ELCA; The United Church of Christ, UCC) and the Korean Presbyterian Church in America, KPCA), are encouraged to contact presbyteries in which they seek to serve in temporary positions.</w:t>
      </w:r>
      <w:r>
        <w:t xml:space="preserve"> Ministers in the process of transferring to the Presbyterian Church (U.S.A.) must be authorized by the committee on ministry (COM)/presbytery and meet all of the </w:t>
      </w:r>
      <w:proofErr w:type="gramStart"/>
      <w:r>
        <w:t>PC(</w:t>
      </w:r>
      <w:proofErr w:type="gramEnd"/>
      <w:r>
        <w:t xml:space="preserve">USA) ordered ministry requirements before they may use CLC. </w:t>
      </w:r>
      <w:r>
        <w:rPr>
          <w:b/>
          <w:i/>
        </w:rPr>
        <w:t>For more information see G-2.0</w:t>
      </w:r>
      <w:r>
        <w:rPr>
          <w:b/>
          <w:i/>
        </w:rPr>
        <w:t>506 and BOO Appendix B,</w:t>
      </w:r>
    </w:p>
    <w:p w:rsidR="00947F3A" w:rsidRDefault="00FB36CA">
      <w:pPr>
        <w:spacing w:before="2"/>
        <w:ind w:left="100"/>
        <w:rPr>
          <w:b/>
          <w:i/>
          <w:sz w:val="20"/>
        </w:rPr>
      </w:pPr>
      <w:r>
        <w:rPr>
          <w:b/>
          <w:i/>
          <w:sz w:val="20"/>
        </w:rPr>
        <w:t>G-5.0202.</w:t>
      </w:r>
    </w:p>
    <w:p w:rsidR="00947F3A" w:rsidRDefault="00947F3A">
      <w:pPr>
        <w:pStyle w:val="BodyText"/>
        <w:spacing w:before="8"/>
        <w:rPr>
          <w:b/>
          <w:i/>
        </w:rPr>
      </w:pPr>
    </w:p>
    <w:p w:rsidR="00947F3A" w:rsidRDefault="00FB36CA">
      <w:pPr>
        <w:pStyle w:val="ListParagraph"/>
        <w:numPr>
          <w:ilvl w:val="0"/>
          <w:numId w:val="1"/>
        </w:numPr>
        <w:tabs>
          <w:tab w:val="left" w:pos="461"/>
        </w:tabs>
        <w:ind w:right="273" w:firstLine="0"/>
        <w:rPr>
          <w:sz w:val="20"/>
        </w:rPr>
      </w:pPr>
      <w:r>
        <w:rPr>
          <w:b/>
          <w:sz w:val="20"/>
        </w:rPr>
        <w:t xml:space="preserve">Only Presbyterian Church (U.S.A.) ministers and ministers from partner churches with whom we are in covenant relationship </w:t>
      </w:r>
      <w:r>
        <w:rPr>
          <w:sz w:val="20"/>
        </w:rPr>
        <w:t>(ELCA, RCA, UCC and KPCA) may serve as installed pastors of Presbyterian Church (U.S.A.) congregati</w:t>
      </w:r>
      <w:r>
        <w:rPr>
          <w:sz w:val="20"/>
        </w:rPr>
        <w:t>ons (</w:t>
      </w:r>
      <w:r>
        <w:rPr>
          <w:i/>
          <w:sz w:val="20"/>
        </w:rPr>
        <w:t>Book of Order</w:t>
      </w:r>
      <w:r>
        <w:rPr>
          <w:sz w:val="20"/>
        </w:rPr>
        <w:t>,</w:t>
      </w:r>
      <w:r>
        <w:rPr>
          <w:spacing w:val="-4"/>
          <w:sz w:val="20"/>
        </w:rPr>
        <w:t xml:space="preserve"> </w:t>
      </w:r>
      <w:r>
        <w:rPr>
          <w:sz w:val="20"/>
        </w:rPr>
        <w:t>G-2.0506).</w:t>
      </w:r>
    </w:p>
    <w:p w:rsidR="00947F3A" w:rsidRDefault="00947F3A">
      <w:pPr>
        <w:pStyle w:val="BodyText"/>
        <w:spacing w:before="11"/>
      </w:pPr>
    </w:p>
    <w:p w:rsidR="00947F3A" w:rsidRDefault="00FB36CA">
      <w:pPr>
        <w:pStyle w:val="ListParagraph"/>
        <w:numPr>
          <w:ilvl w:val="0"/>
          <w:numId w:val="1"/>
        </w:numPr>
        <w:tabs>
          <w:tab w:val="left" w:pos="461"/>
        </w:tabs>
        <w:ind w:firstLine="0"/>
        <w:rPr>
          <w:sz w:val="20"/>
        </w:rPr>
      </w:pPr>
      <w:r>
        <w:rPr>
          <w:sz w:val="20"/>
        </w:rPr>
        <w:t>Ministers of other Christian churches may serve in temporary</w:t>
      </w:r>
      <w:r>
        <w:rPr>
          <w:spacing w:val="-12"/>
          <w:sz w:val="20"/>
        </w:rPr>
        <w:t xml:space="preserve"> </w:t>
      </w:r>
      <w:r>
        <w:rPr>
          <w:sz w:val="20"/>
        </w:rPr>
        <w:t>positions.</w:t>
      </w:r>
    </w:p>
    <w:p w:rsidR="00947F3A" w:rsidRDefault="00947F3A">
      <w:pPr>
        <w:pStyle w:val="BodyText"/>
        <w:spacing w:before="10"/>
      </w:pPr>
    </w:p>
    <w:p w:rsidR="00947F3A" w:rsidRDefault="00FB36CA">
      <w:pPr>
        <w:pStyle w:val="ListParagraph"/>
        <w:numPr>
          <w:ilvl w:val="0"/>
          <w:numId w:val="1"/>
        </w:numPr>
        <w:tabs>
          <w:tab w:val="left" w:pos="461"/>
        </w:tabs>
        <w:spacing w:before="1"/>
        <w:ind w:right="373" w:firstLine="0"/>
        <w:rPr>
          <w:sz w:val="20"/>
        </w:rPr>
      </w:pPr>
      <w:r>
        <w:rPr>
          <w:sz w:val="20"/>
        </w:rPr>
        <w:t>Presbyteries</w:t>
      </w:r>
      <w:r>
        <w:rPr>
          <w:spacing w:val="-5"/>
          <w:sz w:val="20"/>
        </w:rPr>
        <w:t xml:space="preserve"> </w:t>
      </w:r>
      <w:r>
        <w:rPr>
          <w:sz w:val="20"/>
        </w:rPr>
        <w:t>have</w:t>
      </w:r>
      <w:r>
        <w:rPr>
          <w:spacing w:val="-4"/>
          <w:sz w:val="20"/>
        </w:rPr>
        <w:t xml:space="preserve"> </w:t>
      </w:r>
      <w:r>
        <w:rPr>
          <w:sz w:val="20"/>
        </w:rPr>
        <w:t>no</w:t>
      </w:r>
      <w:r>
        <w:rPr>
          <w:spacing w:val="-7"/>
          <w:sz w:val="20"/>
        </w:rPr>
        <w:t xml:space="preserve"> </w:t>
      </w:r>
      <w:r>
        <w:rPr>
          <w:sz w:val="20"/>
        </w:rPr>
        <w:t>obligation</w:t>
      </w:r>
      <w:r>
        <w:rPr>
          <w:spacing w:val="-6"/>
          <w:sz w:val="20"/>
        </w:rPr>
        <w:t xml:space="preserve"> </w:t>
      </w:r>
      <w:r>
        <w:rPr>
          <w:sz w:val="20"/>
        </w:rPr>
        <w:t>to</w:t>
      </w:r>
      <w:r>
        <w:rPr>
          <w:spacing w:val="-4"/>
          <w:sz w:val="20"/>
        </w:rPr>
        <w:t xml:space="preserve"> </w:t>
      </w:r>
      <w:r>
        <w:rPr>
          <w:sz w:val="20"/>
        </w:rPr>
        <w:t>allow</w:t>
      </w:r>
      <w:r>
        <w:rPr>
          <w:spacing w:val="-2"/>
          <w:sz w:val="20"/>
        </w:rPr>
        <w:t xml:space="preserve"> </w:t>
      </w:r>
      <w:r>
        <w:rPr>
          <w:sz w:val="20"/>
        </w:rPr>
        <w:t>ministers</w:t>
      </w:r>
      <w:r>
        <w:rPr>
          <w:spacing w:val="-4"/>
          <w:sz w:val="20"/>
        </w:rPr>
        <w:t xml:space="preserve"> </w:t>
      </w:r>
      <w:r>
        <w:rPr>
          <w:sz w:val="20"/>
        </w:rPr>
        <w:t>from</w:t>
      </w:r>
      <w:r>
        <w:rPr>
          <w:spacing w:val="-1"/>
          <w:sz w:val="20"/>
        </w:rPr>
        <w:t xml:space="preserve"> </w:t>
      </w:r>
      <w:r>
        <w:rPr>
          <w:sz w:val="20"/>
        </w:rPr>
        <w:t>other</w:t>
      </w:r>
      <w:r>
        <w:rPr>
          <w:spacing w:val="-6"/>
          <w:sz w:val="20"/>
        </w:rPr>
        <w:t xml:space="preserve"> </w:t>
      </w:r>
      <w:r>
        <w:rPr>
          <w:sz w:val="20"/>
        </w:rPr>
        <w:t>Christian</w:t>
      </w:r>
      <w:r>
        <w:rPr>
          <w:spacing w:val="-6"/>
          <w:sz w:val="20"/>
        </w:rPr>
        <w:t xml:space="preserve"> </w:t>
      </w:r>
      <w:r>
        <w:rPr>
          <w:sz w:val="20"/>
        </w:rPr>
        <w:t>churches,</w:t>
      </w:r>
      <w:r>
        <w:rPr>
          <w:spacing w:val="-4"/>
          <w:sz w:val="20"/>
        </w:rPr>
        <w:t xml:space="preserve"> </w:t>
      </w:r>
      <w:r>
        <w:rPr>
          <w:sz w:val="20"/>
        </w:rPr>
        <w:t>including</w:t>
      </w:r>
      <w:r>
        <w:rPr>
          <w:spacing w:val="-7"/>
          <w:sz w:val="20"/>
        </w:rPr>
        <w:t xml:space="preserve"> </w:t>
      </w:r>
      <w:r>
        <w:rPr>
          <w:sz w:val="20"/>
        </w:rPr>
        <w:t>those</w:t>
      </w:r>
      <w:r>
        <w:rPr>
          <w:spacing w:val="-4"/>
          <w:sz w:val="20"/>
        </w:rPr>
        <w:t xml:space="preserve"> </w:t>
      </w:r>
      <w:r>
        <w:rPr>
          <w:sz w:val="20"/>
        </w:rPr>
        <w:t>of churches in full communion or in correspondence with the Presbyterian Church (U.S.A.), to serve their churches. Ministers of other denomination should serve as a part of the mission strategy of the presbytery.</w:t>
      </w:r>
    </w:p>
    <w:p w:rsidR="00947F3A" w:rsidRDefault="00947F3A">
      <w:pPr>
        <w:pStyle w:val="BodyText"/>
        <w:spacing w:before="7"/>
      </w:pPr>
    </w:p>
    <w:p w:rsidR="00947F3A" w:rsidRDefault="00FB36CA">
      <w:pPr>
        <w:pStyle w:val="ListParagraph"/>
        <w:numPr>
          <w:ilvl w:val="0"/>
          <w:numId w:val="1"/>
        </w:numPr>
        <w:tabs>
          <w:tab w:val="left" w:pos="461"/>
        </w:tabs>
        <w:spacing w:line="242" w:lineRule="auto"/>
        <w:ind w:right="220" w:firstLine="0"/>
        <w:rPr>
          <w:sz w:val="20"/>
        </w:rPr>
      </w:pPr>
      <w:r>
        <w:rPr>
          <w:b/>
          <w:sz w:val="20"/>
        </w:rPr>
        <w:t xml:space="preserve">Ministers of other Christian churches who </w:t>
      </w:r>
      <w:r>
        <w:rPr>
          <w:b/>
          <w:sz w:val="20"/>
        </w:rPr>
        <w:t xml:space="preserve">wish to become Presbyterian Church (U.S.A.) ministers must meet the </w:t>
      </w:r>
      <w:r>
        <w:rPr>
          <w:b/>
          <w:i/>
          <w:sz w:val="20"/>
        </w:rPr>
        <w:t xml:space="preserve">Book of Order </w:t>
      </w:r>
      <w:r>
        <w:rPr>
          <w:b/>
          <w:sz w:val="20"/>
        </w:rPr>
        <w:t xml:space="preserve">requirements in G-2.0505, Transfer of Ministers of Other Denominations. </w:t>
      </w:r>
      <w:r>
        <w:rPr>
          <w:sz w:val="20"/>
        </w:rPr>
        <w:t xml:space="preserve">Waiver to ministers of other Reformed churches ordained for five or more years need a two-thirds vote </w:t>
      </w:r>
      <w:r>
        <w:rPr>
          <w:sz w:val="20"/>
        </w:rPr>
        <w:t>of the</w:t>
      </w:r>
      <w:r>
        <w:rPr>
          <w:spacing w:val="-2"/>
          <w:sz w:val="20"/>
        </w:rPr>
        <w:t xml:space="preserve"> </w:t>
      </w:r>
      <w:r>
        <w:rPr>
          <w:sz w:val="20"/>
        </w:rPr>
        <w:t>presbytery.</w:t>
      </w:r>
    </w:p>
    <w:p w:rsidR="00947F3A" w:rsidRDefault="00947F3A">
      <w:pPr>
        <w:pStyle w:val="BodyText"/>
      </w:pPr>
    </w:p>
    <w:p w:rsidR="00947F3A" w:rsidRDefault="00FB36CA">
      <w:pPr>
        <w:pStyle w:val="ListParagraph"/>
        <w:numPr>
          <w:ilvl w:val="0"/>
          <w:numId w:val="1"/>
        </w:numPr>
        <w:tabs>
          <w:tab w:val="left" w:pos="461"/>
        </w:tabs>
        <w:ind w:right="447" w:firstLine="0"/>
        <w:rPr>
          <w:sz w:val="20"/>
        </w:rPr>
      </w:pPr>
      <w:r>
        <w:rPr>
          <w:b/>
          <w:sz w:val="20"/>
        </w:rPr>
        <w:t xml:space="preserve">Formula Partner and Covenant Ministers </w:t>
      </w:r>
      <w:r>
        <w:rPr>
          <w:sz w:val="20"/>
        </w:rPr>
        <w:t>(ELCA, RCA, UCC, and KPCA) may be installed and serve Presbyterian churches while remaining members of their home Christian churches. Reference checking</w:t>
      </w:r>
      <w:r>
        <w:rPr>
          <w:spacing w:val="-5"/>
          <w:sz w:val="20"/>
        </w:rPr>
        <w:t xml:space="preserve"> </w:t>
      </w:r>
      <w:r>
        <w:rPr>
          <w:sz w:val="20"/>
        </w:rPr>
        <w:t>and</w:t>
      </w:r>
      <w:r>
        <w:rPr>
          <w:spacing w:val="-2"/>
          <w:sz w:val="20"/>
        </w:rPr>
        <w:t xml:space="preserve"> </w:t>
      </w:r>
      <w:r>
        <w:rPr>
          <w:sz w:val="20"/>
        </w:rPr>
        <w:t>examination</w:t>
      </w:r>
      <w:r>
        <w:rPr>
          <w:spacing w:val="-2"/>
          <w:sz w:val="20"/>
        </w:rPr>
        <w:t xml:space="preserve"> </w:t>
      </w:r>
      <w:r>
        <w:rPr>
          <w:sz w:val="20"/>
        </w:rPr>
        <w:t>by</w:t>
      </w:r>
      <w:r>
        <w:rPr>
          <w:spacing w:val="-7"/>
          <w:sz w:val="20"/>
        </w:rPr>
        <w:t xml:space="preserve"> </w:t>
      </w:r>
      <w:r>
        <w:rPr>
          <w:sz w:val="20"/>
        </w:rPr>
        <w:t>the</w:t>
      </w:r>
      <w:r>
        <w:rPr>
          <w:spacing w:val="-5"/>
          <w:sz w:val="20"/>
        </w:rPr>
        <w:t xml:space="preserve"> </w:t>
      </w:r>
      <w:r>
        <w:rPr>
          <w:sz w:val="20"/>
        </w:rPr>
        <w:t>COM</w:t>
      </w:r>
      <w:r>
        <w:rPr>
          <w:spacing w:val="-1"/>
          <w:sz w:val="20"/>
        </w:rPr>
        <w:t xml:space="preserve"> </w:t>
      </w:r>
      <w:r>
        <w:rPr>
          <w:sz w:val="20"/>
        </w:rPr>
        <w:t>should</w:t>
      </w:r>
      <w:r>
        <w:rPr>
          <w:spacing w:val="-2"/>
          <w:sz w:val="20"/>
        </w:rPr>
        <w:t xml:space="preserve"> </w:t>
      </w:r>
      <w:r>
        <w:rPr>
          <w:sz w:val="20"/>
        </w:rPr>
        <w:t>take</w:t>
      </w:r>
      <w:r>
        <w:rPr>
          <w:spacing w:val="-4"/>
          <w:sz w:val="20"/>
        </w:rPr>
        <w:t xml:space="preserve"> </w:t>
      </w:r>
      <w:r>
        <w:rPr>
          <w:sz w:val="20"/>
        </w:rPr>
        <w:t>place</w:t>
      </w:r>
      <w:r>
        <w:rPr>
          <w:spacing w:val="-4"/>
          <w:sz w:val="20"/>
        </w:rPr>
        <w:t xml:space="preserve"> </w:t>
      </w:r>
      <w:r>
        <w:rPr>
          <w:sz w:val="20"/>
        </w:rPr>
        <w:t>just</w:t>
      </w:r>
      <w:r>
        <w:rPr>
          <w:spacing w:val="-4"/>
          <w:sz w:val="20"/>
        </w:rPr>
        <w:t xml:space="preserve"> </w:t>
      </w:r>
      <w:r>
        <w:rPr>
          <w:sz w:val="20"/>
        </w:rPr>
        <w:t>as</w:t>
      </w:r>
      <w:r>
        <w:rPr>
          <w:spacing w:val="-3"/>
          <w:sz w:val="20"/>
        </w:rPr>
        <w:t xml:space="preserve"> </w:t>
      </w:r>
      <w:r>
        <w:rPr>
          <w:sz w:val="20"/>
        </w:rPr>
        <w:t>it</w:t>
      </w:r>
      <w:r>
        <w:rPr>
          <w:spacing w:val="-2"/>
          <w:sz w:val="20"/>
        </w:rPr>
        <w:t xml:space="preserve"> </w:t>
      </w:r>
      <w:r>
        <w:rPr>
          <w:sz w:val="20"/>
        </w:rPr>
        <w:t>would</w:t>
      </w:r>
      <w:r>
        <w:rPr>
          <w:spacing w:val="-4"/>
          <w:sz w:val="20"/>
        </w:rPr>
        <w:t xml:space="preserve"> </w:t>
      </w:r>
      <w:r>
        <w:rPr>
          <w:sz w:val="20"/>
        </w:rPr>
        <w:t>for</w:t>
      </w:r>
      <w:r>
        <w:rPr>
          <w:spacing w:val="-4"/>
          <w:sz w:val="20"/>
        </w:rPr>
        <w:t xml:space="preserve"> </w:t>
      </w:r>
      <w:r>
        <w:rPr>
          <w:sz w:val="20"/>
        </w:rPr>
        <w:t>any</w:t>
      </w:r>
      <w:r>
        <w:rPr>
          <w:spacing w:val="-5"/>
          <w:sz w:val="20"/>
        </w:rPr>
        <w:t xml:space="preserve"> </w:t>
      </w:r>
      <w:r>
        <w:rPr>
          <w:sz w:val="20"/>
        </w:rPr>
        <w:t>Presbyterian</w:t>
      </w:r>
      <w:r>
        <w:rPr>
          <w:spacing w:val="-5"/>
          <w:sz w:val="20"/>
        </w:rPr>
        <w:t xml:space="preserve"> </w:t>
      </w:r>
      <w:r>
        <w:rPr>
          <w:sz w:val="20"/>
        </w:rPr>
        <w:t>minister seeking a call within the presbytery. The minister is installed (if home denomination allows) and is enrolled as a member of the presbytery with all rights and</w:t>
      </w:r>
      <w:r>
        <w:rPr>
          <w:spacing w:val="-10"/>
          <w:sz w:val="20"/>
        </w:rPr>
        <w:t xml:space="preserve"> </w:t>
      </w:r>
      <w:r>
        <w:rPr>
          <w:sz w:val="20"/>
        </w:rPr>
        <w:t>privileges.</w:t>
      </w:r>
    </w:p>
    <w:p w:rsidR="00947F3A" w:rsidRDefault="00947F3A">
      <w:pPr>
        <w:pStyle w:val="BodyText"/>
        <w:rPr>
          <w:sz w:val="21"/>
        </w:rPr>
      </w:pPr>
    </w:p>
    <w:p w:rsidR="00947F3A" w:rsidRDefault="00FB36CA">
      <w:pPr>
        <w:pStyle w:val="ListParagraph"/>
        <w:numPr>
          <w:ilvl w:val="0"/>
          <w:numId w:val="1"/>
        </w:numPr>
        <w:tabs>
          <w:tab w:val="left" w:pos="461"/>
        </w:tabs>
        <w:spacing w:before="1"/>
        <w:ind w:right="165" w:firstLine="0"/>
        <w:rPr>
          <w:sz w:val="20"/>
        </w:rPr>
      </w:pPr>
      <w:r>
        <w:rPr>
          <w:b/>
          <w:sz w:val="20"/>
        </w:rPr>
        <w:t>Accountability—</w:t>
      </w:r>
      <w:r>
        <w:rPr>
          <w:sz w:val="20"/>
        </w:rPr>
        <w:t>Formula of Agreement</w:t>
      </w:r>
      <w:r>
        <w:rPr>
          <w:sz w:val="20"/>
        </w:rPr>
        <w:t xml:space="preserve"> partner ministers and covenant relation ministers remain accountable to the sending body for continuation of ministerial status. The inviting and sending bodies share responsibility for pastoral care of ordained ministers. They are accountable to the pres</w:t>
      </w:r>
      <w:r>
        <w:rPr>
          <w:sz w:val="20"/>
        </w:rPr>
        <w:t>bytery of call for</w:t>
      </w:r>
      <w:r>
        <w:rPr>
          <w:spacing w:val="-5"/>
          <w:sz w:val="20"/>
        </w:rPr>
        <w:t xml:space="preserve"> </w:t>
      </w:r>
      <w:r>
        <w:rPr>
          <w:sz w:val="20"/>
        </w:rPr>
        <w:t>their</w:t>
      </w:r>
      <w:r>
        <w:rPr>
          <w:spacing w:val="-4"/>
          <w:sz w:val="20"/>
        </w:rPr>
        <w:t xml:space="preserve"> </w:t>
      </w:r>
      <w:r>
        <w:rPr>
          <w:sz w:val="20"/>
        </w:rPr>
        <w:t>ministry</w:t>
      </w:r>
      <w:r>
        <w:rPr>
          <w:spacing w:val="-6"/>
          <w:sz w:val="20"/>
        </w:rPr>
        <w:t xml:space="preserve"> </w:t>
      </w:r>
      <w:r>
        <w:rPr>
          <w:sz w:val="20"/>
        </w:rPr>
        <w:t>with</w:t>
      </w:r>
      <w:r>
        <w:rPr>
          <w:spacing w:val="-5"/>
          <w:sz w:val="20"/>
        </w:rPr>
        <w:t xml:space="preserve"> </w:t>
      </w:r>
      <w:r>
        <w:rPr>
          <w:sz w:val="20"/>
        </w:rPr>
        <w:t>the</w:t>
      </w:r>
      <w:r>
        <w:rPr>
          <w:spacing w:val="-6"/>
          <w:sz w:val="20"/>
        </w:rPr>
        <w:t xml:space="preserve"> </w:t>
      </w:r>
      <w:r>
        <w:rPr>
          <w:sz w:val="20"/>
        </w:rPr>
        <w:t>church.</w:t>
      </w:r>
      <w:r>
        <w:rPr>
          <w:spacing w:val="-6"/>
          <w:sz w:val="20"/>
        </w:rPr>
        <w:t xml:space="preserve"> </w:t>
      </w:r>
      <w:r>
        <w:rPr>
          <w:sz w:val="20"/>
        </w:rPr>
        <w:t>It</w:t>
      </w:r>
      <w:r>
        <w:rPr>
          <w:spacing w:val="-5"/>
          <w:sz w:val="20"/>
        </w:rPr>
        <w:t xml:space="preserve"> </w:t>
      </w:r>
      <w:r>
        <w:rPr>
          <w:sz w:val="20"/>
        </w:rPr>
        <w:t>is</w:t>
      </w:r>
      <w:r>
        <w:rPr>
          <w:spacing w:val="-2"/>
          <w:sz w:val="20"/>
        </w:rPr>
        <w:t xml:space="preserve"> </w:t>
      </w:r>
      <w:r>
        <w:rPr>
          <w:sz w:val="20"/>
        </w:rPr>
        <w:t>hoped</w:t>
      </w:r>
      <w:r>
        <w:rPr>
          <w:spacing w:val="-6"/>
          <w:sz w:val="20"/>
        </w:rPr>
        <w:t xml:space="preserve"> </w:t>
      </w:r>
      <w:r>
        <w:rPr>
          <w:sz w:val="20"/>
        </w:rPr>
        <w:t>that</w:t>
      </w:r>
      <w:r>
        <w:rPr>
          <w:spacing w:val="-3"/>
          <w:sz w:val="20"/>
        </w:rPr>
        <w:t xml:space="preserve"> </w:t>
      </w:r>
      <w:r>
        <w:rPr>
          <w:sz w:val="20"/>
        </w:rPr>
        <w:t>when</w:t>
      </w:r>
      <w:r>
        <w:rPr>
          <w:spacing w:val="-3"/>
          <w:sz w:val="20"/>
        </w:rPr>
        <w:t xml:space="preserve"> </w:t>
      </w:r>
      <w:r>
        <w:rPr>
          <w:sz w:val="20"/>
        </w:rPr>
        <w:t>such</w:t>
      </w:r>
      <w:r>
        <w:rPr>
          <w:spacing w:val="-5"/>
          <w:sz w:val="20"/>
        </w:rPr>
        <w:t xml:space="preserve"> </w:t>
      </w:r>
      <w:r>
        <w:rPr>
          <w:sz w:val="20"/>
        </w:rPr>
        <w:t>relationships</w:t>
      </w:r>
      <w:r>
        <w:rPr>
          <w:spacing w:val="-2"/>
          <w:sz w:val="20"/>
        </w:rPr>
        <w:t xml:space="preserve"> </w:t>
      </w:r>
      <w:r>
        <w:rPr>
          <w:sz w:val="20"/>
        </w:rPr>
        <w:t>are</w:t>
      </w:r>
      <w:r>
        <w:rPr>
          <w:spacing w:val="-5"/>
          <w:sz w:val="20"/>
        </w:rPr>
        <w:t xml:space="preserve"> </w:t>
      </w:r>
      <w:r>
        <w:rPr>
          <w:sz w:val="20"/>
        </w:rPr>
        <w:t>established,</w:t>
      </w:r>
      <w:r>
        <w:rPr>
          <w:spacing w:val="-3"/>
          <w:sz w:val="20"/>
        </w:rPr>
        <w:t xml:space="preserve"> </w:t>
      </w:r>
      <w:r>
        <w:rPr>
          <w:sz w:val="20"/>
        </w:rPr>
        <w:t>the</w:t>
      </w:r>
      <w:r>
        <w:rPr>
          <w:spacing w:val="2"/>
          <w:sz w:val="20"/>
        </w:rPr>
        <w:t xml:space="preserve"> </w:t>
      </w:r>
      <w:r>
        <w:rPr>
          <w:sz w:val="20"/>
        </w:rPr>
        <w:t>mid</w:t>
      </w:r>
      <w:r>
        <w:rPr>
          <w:spacing w:val="-5"/>
          <w:sz w:val="20"/>
        </w:rPr>
        <w:t xml:space="preserve"> </w:t>
      </w:r>
      <w:r>
        <w:rPr>
          <w:sz w:val="20"/>
        </w:rPr>
        <w:t>council representatives would partner in supporting the</w:t>
      </w:r>
      <w:r>
        <w:rPr>
          <w:spacing w:val="-4"/>
          <w:sz w:val="20"/>
        </w:rPr>
        <w:t xml:space="preserve"> </w:t>
      </w:r>
      <w:r>
        <w:rPr>
          <w:sz w:val="20"/>
        </w:rPr>
        <w:t>minister.</w:t>
      </w:r>
    </w:p>
    <w:p w:rsidR="00947F3A" w:rsidRDefault="00947F3A">
      <w:pPr>
        <w:pStyle w:val="BodyText"/>
        <w:spacing w:before="10"/>
      </w:pPr>
    </w:p>
    <w:p w:rsidR="00947F3A" w:rsidRDefault="00FB36CA">
      <w:pPr>
        <w:pStyle w:val="ListParagraph"/>
        <w:numPr>
          <w:ilvl w:val="0"/>
          <w:numId w:val="1"/>
        </w:numPr>
        <w:tabs>
          <w:tab w:val="left" w:pos="461"/>
        </w:tabs>
        <w:ind w:right="204" w:firstLine="0"/>
        <w:rPr>
          <w:sz w:val="20"/>
        </w:rPr>
      </w:pPr>
      <w:r>
        <w:rPr>
          <w:b/>
          <w:sz w:val="20"/>
        </w:rPr>
        <w:t>Financial  Arrangements—</w:t>
      </w:r>
      <w:r>
        <w:rPr>
          <w:sz w:val="20"/>
        </w:rPr>
        <w:t xml:space="preserve">Formula of  Agreement partner ministers and covenant relation ministers remain members of their denomination’s medical and pension plans. Presbyterian congregations will pay dues </w:t>
      </w:r>
      <w:r>
        <w:rPr>
          <w:spacing w:val="3"/>
          <w:sz w:val="20"/>
        </w:rPr>
        <w:t xml:space="preserve">to </w:t>
      </w:r>
      <w:r>
        <w:rPr>
          <w:sz w:val="20"/>
        </w:rPr>
        <w:t>the insuring entity. It is expected that salaries will be the same as woul</w:t>
      </w:r>
      <w:r>
        <w:rPr>
          <w:sz w:val="20"/>
        </w:rPr>
        <w:t>d be paid to a Presbyterian</w:t>
      </w:r>
      <w:r>
        <w:rPr>
          <w:spacing w:val="20"/>
          <w:sz w:val="20"/>
        </w:rPr>
        <w:t xml:space="preserve"> </w:t>
      </w:r>
      <w:r>
        <w:rPr>
          <w:sz w:val="20"/>
        </w:rPr>
        <w:t>minister.</w:t>
      </w:r>
    </w:p>
    <w:p w:rsidR="00947F3A" w:rsidRDefault="00947F3A">
      <w:pPr>
        <w:rPr>
          <w:sz w:val="20"/>
        </w:rPr>
        <w:sectPr w:rsidR="00947F3A">
          <w:type w:val="continuous"/>
          <w:pgSz w:w="12240" w:h="15840"/>
          <w:pgMar w:top="1440" w:right="1340" w:bottom="280" w:left="1340" w:header="720" w:footer="720" w:gutter="0"/>
          <w:cols w:space="720"/>
        </w:sectPr>
      </w:pPr>
    </w:p>
    <w:p w:rsidR="00947F3A" w:rsidRDefault="00947F3A">
      <w:pPr>
        <w:pStyle w:val="BodyText"/>
        <w:spacing w:before="5"/>
        <w:rPr>
          <w:sz w:val="9"/>
        </w:rPr>
      </w:pPr>
    </w:p>
    <w:p w:rsidR="00947F3A" w:rsidRDefault="00FB36CA">
      <w:pPr>
        <w:pStyle w:val="Heading1"/>
        <w:spacing w:before="66"/>
      </w:pPr>
      <w:r>
        <w:t>Transfer of membership to Presbyterian Church (U.S.A.)</w:t>
      </w:r>
    </w:p>
    <w:p w:rsidR="00947F3A" w:rsidRDefault="00947F3A">
      <w:pPr>
        <w:pStyle w:val="BodyText"/>
        <w:spacing w:before="2"/>
        <w:rPr>
          <w:b/>
          <w:sz w:val="21"/>
        </w:rPr>
      </w:pPr>
    </w:p>
    <w:p w:rsidR="00947F3A" w:rsidRDefault="00FB36CA">
      <w:pPr>
        <w:pStyle w:val="BodyText"/>
        <w:ind w:left="100" w:right="758"/>
      </w:pPr>
      <w:r>
        <w:t>In order to become a Presbyterian Church (U.S.A.) minister, a minister of another Christian church (including A Formula of Agreement partners and coven</w:t>
      </w:r>
      <w:r>
        <w:t>ant partners) must:</w:t>
      </w:r>
    </w:p>
    <w:p w:rsidR="00947F3A" w:rsidRDefault="00FB36CA">
      <w:pPr>
        <w:pStyle w:val="ListParagraph"/>
        <w:numPr>
          <w:ilvl w:val="1"/>
          <w:numId w:val="1"/>
        </w:numPr>
        <w:tabs>
          <w:tab w:val="left" w:pos="821"/>
        </w:tabs>
        <w:spacing w:before="118"/>
        <w:rPr>
          <w:sz w:val="20"/>
        </w:rPr>
      </w:pPr>
      <w:r>
        <w:rPr>
          <w:sz w:val="20"/>
        </w:rPr>
        <w:t>Be an ordained</w:t>
      </w:r>
      <w:r>
        <w:rPr>
          <w:spacing w:val="-4"/>
          <w:sz w:val="20"/>
        </w:rPr>
        <w:t xml:space="preserve"> </w:t>
      </w:r>
      <w:r>
        <w:rPr>
          <w:sz w:val="20"/>
        </w:rPr>
        <w:t>minister.</w:t>
      </w:r>
    </w:p>
    <w:p w:rsidR="00947F3A" w:rsidRDefault="00FB36CA">
      <w:pPr>
        <w:pStyle w:val="ListParagraph"/>
        <w:numPr>
          <w:ilvl w:val="1"/>
          <w:numId w:val="1"/>
        </w:numPr>
        <w:tabs>
          <w:tab w:val="left" w:pos="821"/>
        </w:tabs>
        <w:spacing w:before="121"/>
        <w:ind w:right="331"/>
        <w:rPr>
          <w:sz w:val="20"/>
        </w:rPr>
      </w:pPr>
      <w:r>
        <w:rPr>
          <w:sz w:val="20"/>
        </w:rPr>
        <w:t>Have a baccalaureate degree from an accredited college or university and a theological degree from an institution acceptable to the presbytery of call (</w:t>
      </w:r>
      <w:r>
        <w:rPr>
          <w:i/>
          <w:sz w:val="20"/>
        </w:rPr>
        <w:t>Book of Order</w:t>
      </w:r>
      <w:r>
        <w:rPr>
          <w:sz w:val="20"/>
        </w:rPr>
        <w:t>,</w:t>
      </w:r>
      <w:r>
        <w:rPr>
          <w:spacing w:val="-22"/>
          <w:sz w:val="20"/>
        </w:rPr>
        <w:t xml:space="preserve"> </w:t>
      </w:r>
      <w:r>
        <w:rPr>
          <w:sz w:val="20"/>
        </w:rPr>
        <w:t>G-2.0607b–c).</w:t>
      </w:r>
    </w:p>
    <w:p w:rsidR="00947F3A" w:rsidRDefault="00FB36CA">
      <w:pPr>
        <w:pStyle w:val="ListParagraph"/>
        <w:numPr>
          <w:ilvl w:val="1"/>
          <w:numId w:val="1"/>
        </w:numPr>
        <w:tabs>
          <w:tab w:val="left" w:pos="821"/>
        </w:tabs>
        <w:spacing w:before="120"/>
        <w:ind w:right="111"/>
        <w:rPr>
          <w:sz w:val="20"/>
        </w:rPr>
      </w:pPr>
      <w:r>
        <w:rPr>
          <w:sz w:val="20"/>
        </w:rPr>
        <w:t>Pass Presbyterian Church (U.S.A.) standard ordination exams. The presbytery, by a three-fourths vote, may waive any of the requirements for ordination in G-2.06, except for those of G-2.0607d. If a presbytery judges that there are good and sufficient reaso</w:t>
      </w:r>
      <w:r>
        <w:rPr>
          <w:sz w:val="20"/>
        </w:rPr>
        <w:t>ns why a candidate should not be required to satisfy the requirements of G-2.0607d, it shall approve by three-fourths vote some alternate means by which to ascertain the readiness of the candidate for ministry in the areas covered by the standard ordinatio</w:t>
      </w:r>
      <w:r>
        <w:rPr>
          <w:sz w:val="20"/>
        </w:rPr>
        <w:t>n examinations</w:t>
      </w:r>
      <w:r>
        <w:rPr>
          <w:spacing w:val="-8"/>
          <w:sz w:val="20"/>
        </w:rPr>
        <w:t xml:space="preserve"> </w:t>
      </w:r>
      <w:r>
        <w:rPr>
          <w:sz w:val="20"/>
        </w:rPr>
        <w:t>(G-2.0610).</w:t>
      </w:r>
    </w:p>
    <w:p w:rsidR="00947F3A" w:rsidRDefault="00FB36CA">
      <w:pPr>
        <w:pStyle w:val="ListParagraph"/>
        <w:numPr>
          <w:ilvl w:val="1"/>
          <w:numId w:val="1"/>
        </w:numPr>
        <w:tabs>
          <w:tab w:val="left" w:pos="821"/>
        </w:tabs>
        <w:spacing w:before="121"/>
        <w:ind w:right="156"/>
        <w:rPr>
          <w:sz w:val="20"/>
        </w:rPr>
      </w:pPr>
      <w:r>
        <w:rPr>
          <w:sz w:val="20"/>
        </w:rPr>
        <w:t>A presbytery can accept a minister of another Christian church after the constitutional conditions have</w:t>
      </w:r>
      <w:r>
        <w:rPr>
          <w:spacing w:val="-4"/>
          <w:sz w:val="20"/>
        </w:rPr>
        <w:t xml:space="preserve"> </w:t>
      </w:r>
      <w:r>
        <w:rPr>
          <w:sz w:val="20"/>
        </w:rPr>
        <w:t>been</w:t>
      </w:r>
      <w:r>
        <w:rPr>
          <w:spacing w:val="-4"/>
          <w:sz w:val="20"/>
        </w:rPr>
        <w:t xml:space="preserve"> </w:t>
      </w:r>
      <w:r>
        <w:rPr>
          <w:sz w:val="20"/>
        </w:rPr>
        <w:t>met.</w:t>
      </w:r>
      <w:r>
        <w:rPr>
          <w:spacing w:val="-5"/>
          <w:sz w:val="20"/>
        </w:rPr>
        <w:t xml:space="preserve"> </w:t>
      </w:r>
      <w:r>
        <w:rPr>
          <w:sz w:val="20"/>
        </w:rPr>
        <w:t>They</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required</w:t>
      </w:r>
      <w:r>
        <w:rPr>
          <w:spacing w:val="-3"/>
          <w:sz w:val="20"/>
        </w:rPr>
        <w:t xml:space="preserve"> </w:t>
      </w:r>
      <w:r>
        <w:rPr>
          <w:sz w:val="20"/>
        </w:rPr>
        <w:t>to</w:t>
      </w:r>
      <w:r>
        <w:rPr>
          <w:spacing w:val="-4"/>
          <w:sz w:val="20"/>
        </w:rPr>
        <w:t xml:space="preserve"> </w:t>
      </w:r>
      <w:r>
        <w:rPr>
          <w:sz w:val="20"/>
        </w:rPr>
        <w:t>provide</w:t>
      </w:r>
      <w:r>
        <w:rPr>
          <w:spacing w:val="-3"/>
          <w:sz w:val="20"/>
        </w:rPr>
        <w:t xml:space="preserve"> </w:t>
      </w:r>
      <w:r>
        <w:rPr>
          <w:sz w:val="20"/>
        </w:rPr>
        <w:t>attestation</w:t>
      </w:r>
      <w:r>
        <w:rPr>
          <w:spacing w:val="-4"/>
          <w:sz w:val="20"/>
        </w:rPr>
        <w:t xml:space="preserve"> </w:t>
      </w:r>
      <w:r>
        <w:rPr>
          <w:sz w:val="20"/>
        </w:rPr>
        <w:t>of</w:t>
      </w:r>
      <w:r>
        <w:rPr>
          <w:spacing w:val="-3"/>
          <w:sz w:val="20"/>
        </w:rPr>
        <w:t xml:space="preserve"> </w:t>
      </w:r>
      <w:r>
        <w:rPr>
          <w:sz w:val="20"/>
        </w:rPr>
        <w:t>“good</w:t>
      </w:r>
      <w:r>
        <w:rPr>
          <w:spacing w:val="-4"/>
          <w:sz w:val="20"/>
        </w:rPr>
        <w:t xml:space="preserve"> </w:t>
      </w:r>
      <w:r>
        <w:rPr>
          <w:sz w:val="20"/>
        </w:rPr>
        <w:t>standing”</w:t>
      </w:r>
      <w:r>
        <w:rPr>
          <w:spacing w:val="-3"/>
          <w:sz w:val="20"/>
        </w:rPr>
        <w:t xml:space="preserve"> </w:t>
      </w:r>
      <w:r>
        <w:rPr>
          <w:sz w:val="20"/>
        </w:rPr>
        <w:t>from</w:t>
      </w:r>
      <w:r>
        <w:rPr>
          <w:spacing w:val="-1"/>
          <w:sz w:val="20"/>
        </w:rPr>
        <w:t xml:space="preserve"> </w:t>
      </w:r>
      <w:r>
        <w:rPr>
          <w:sz w:val="20"/>
        </w:rPr>
        <w:t>an</w:t>
      </w:r>
      <w:r>
        <w:rPr>
          <w:spacing w:val="1"/>
          <w:sz w:val="20"/>
        </w:rPr>
        <w:t xml:space="preserve"> </w:t>
      </w:r>
      <w:r>
        <w:rPr>
          <w:sz w:val="20"/>
        </w:rPr>
        <w:t>authorized official of his or her present governing body.</w:t>
      </w:r>
    </w:p>
    <w:p w:rsidR="00947F3A" w:rsidRDefault="00FB36CA">
      <w:pPr>
        <w:pStyle w:val="ListParagraph"/>
        <w:numPr>
          <w:ilvl w:val="1"/>
          <w:numId w:val="1"/>
        </w:numPr>
        <w:tabs>
          <w:tab w:val="left" w:pos="821"/>
        </w:tabs>
        <w:spacing w:before="119"/>
        <w:rPr>
          <w:sz w:val="20"/>
        </w:rPr>
      </w:pPr>
      <w:r>
        <w:rPr>
          <w:sz w:val="20"/>
        </w:rPr>
        <w:t>The Ecumenical and Agency Relationships office will request, in behalf of the presbyteries,</w:t>
      </w:r>
      <w:r>
        <w:rPr>
          <w:spacing w:val="-34"/>
          <w:sz w:val="20"/>
        </w:rPr>
        <w:t xml:space="preserve"> </w:t>
      </w:r>
      <w:r>
        <w:rPr>
          <w:sz w:val="20"/>
        </w:rPr>
        <w:t>the</w:t>
      </w:r>
    </w:p>
    <w:p w:rsidR="00947F3A" w:rsidRDefault="00FB36CA">
      <w:pPr>
        <w:pStyle w:val="BodyText"/>
        <w:ind w:left="820"/>
      </w:pPr>
      <w:proofErr w:type="gramStart"/>
      <w:r>
        <w:t>required</w:t>
      </w:r>
      <w:proofErr w:type="gramEnd"/>
      <w:r>
        <w:t xml:space="preserve"> “good standing” letter. To complete the transfer they must:</w:t>
      </w:r>
    </w:p>
    <w:p w:rsidR="00947F3A" w:rsidRDefault="00FB36CA">
      <w:pPr>
        <w:pStyle w:val="ListParagraph"/>
        <w:numPr>
          <w:ilvl w:val="2"/>
          <w:numId w:val="1"/>
        </w:numPr>
        <w:tabs>
          <w:tab w:val="left" w:pos="1180"/>
          <w:tab w:val="left" w:pos="1181"/>
        </w:tabs>
        <w:spacing w:before="121"/>
        <w:rPr>
          <w:sz w:val="20"/>
        </w:rPr>
      </w:pPr>
      <w:r>
        <w:rPr>
          <w:sz w:val="20"/>
        </w:rPr>
        <w:t>Have a call to appropriate work i</w:t>
      </w:r>
      <w:r>
        <w:rPr>
          <w:sz w:val="20"/>
        </w:rPr>
        <w:t>n the Presbyterian Church</w:t>
      </w:r>
      <w:r>
        <w:rPr>
          <w:spacing w:val="-8"/>
          <w:sz w:val="20"/>
        </w:rPr>
        <w:t xml:space="preserve"> </w:t>
      </w:r>
      <w:r>
        <w:rPr>
          <w:sz w:val="20"/>
        </w:rPr>
        <w:t>U.S.A.</w:t>
      </w:r>
    </w:p>
    <w:p w:rsidR="00947F3A" w:rsidRDefault="00FB36CA">
      <w:pPr>
        <w:pStyle w:val="ListParagraph"/>
        <w:numPr>
          <w:ilvl w:val="2"/>
          <w:numId w:val="1"/>
        </w:numPr>
        <w:tabs>
          <w:tab w:val="left" w:pos="1180"/>
          <w:tab w:val="left" w:pos="1181"/>
        </w:tabs>
        <w:spacing w:before="120"/>
        <w:rPr>
          <w:sz w:val="20"/>
        </w:rPr>
      </w:pPr>
      <w:r>
        <w:rPr>
          <w:sz w:val="20"/>
        </w:rPr>
        <w:t>Be examined and approved by the presbytery of</w:t>
      </w:r>
      <w:r>
        <w:rPr>
          <w:spacing w:val="-9"/>
          <w:sz w:val="20"/>
        </w:rPr>
        <w:t xml:space="preserve"> </w:t>
      </w:r>
      <w:r>
        <w:rPr>
          <w:sz w:val="20"/>
        </w:rPr>
        <w:t>call.</w:t>
      </w:r>
    </w:p>
    <w:p w:rsidR="00947F3A" w:rsidRDefault="00FB36CA">
      <w:pPr>
        <w:pStyle w:val="ListParagraph"/>
        <w:numPr>
          <w:ilvl w:val="2"/>
          <w:numId w:val="1"/>
        </w:numPr>
        <w:tabs>
          <w:tab w:val="left" w:pos="1180"/>
          <w:tab w:val="left" w:pos="1181"/>
        </w:tabs>
        <w:spacing w:before="121"/>
        <w:ind w:right="534"/>
        <w:rPr>
          <w:sz w:val="20"/>
        </w:rPr>
      </w:pPr>
      <w:r>
        <w:rPr>
          <w:sz w:val="20"/>
        </w:rPr>
        <w:t>Be</w:t>
      </w:r>
      <w:r>
        <w:rPr>
          <w:spacing w:val="-5"/>
          <w:sz w:val="20"/>
        </w:rPr>
        <w:t xml:space="preserve"> </w:t>
      </w:r>
      <w:r>
        <w:rPr>
          <w:sz w:val="20"/>
        </w:rPr>
        <w:t>examined</w:t>
      </w:r>
      <w:r>
        <w:rPr>
          <w:spacing w:val="-3"/>
          <w:sz w:val="20"/>
        </w:rPr>
        <w:t xml:space="preserve"> </w:t>
      </w:r>
      <w:r>
        <w:rPr>
          <w:sz w:val="20"/>
        </w:rPr>
        <w:t>on</w:t>
      </w:r>
      <w:r>
        <w:rPr>
          <w:spacing w:val="-4"/>
          <w:sz w:val="20"/>
        </w:rPr>
        <w:t xml:space="preserve"> </w:t>
      </w:r>
      <w:r>
        <w:rPr>
          <w:sz w:val="20"/>
        </w:rPr>
        <w:t>their</w:t>
      </w:r>
      <w:r>
        <w:rPr>
          <w:spacing w:val="-4"/>
          <w:sz w:val="20"/>
        </w:rPr>
        <w:t xml:space="preserve"> </w:t>
      </w:r>
      <w:r>
        <w:rPr>
          <w:sz w:val="20"/>
        </w:rPr>
        <w:t>Christian</w:t>
      </w:r>
      <w:r>
        <w:rPr>
          <w:spacing w:val="-3"/>
          <w:sz w:val="20"/>
        </w:rPr>
        <w:t xml:space="preserve"> </w:t>
      </w:r>
      <w:r>
        <w:rPr>
          <w:sz w:val="20"/>
        </w:rPr>
        <w:t>faith,</w:t>
      </w:r>
      <w:r>
        <w:rPr>
          <w:spacing w:val="-3"/>
          <w:sz w:val="20"/>
        </w:rPr>
        <w:t xml:space="preserve"> </w:t>
      </w:r>
      <w:r>
        <w:rPr>
          <w:sz w:val="20"/>
        </w:rPr>
        <w:t>in</w:t>
      </w:r>
      <w:r>
        <w:rPr>
          <w:spacing w:val="-3"/>
          <w:sz w:val="20"/>
        </w:rPr>
        <w:t xml:space="preserve"> </w:t>
      </w:r>
      <w:r>
        <w:rPr>
          <w:sz w:val="20"/>
        </w:rPr>
        <w:t>theology,</w:t>
      </w:r>
      <w:r>
        <w:rPr>
          <w:spacing w:val="-3"/>
          <w:sz w:val="20"/>
        </w:rPr>
        <w:t xml:space="preserve"> </w:t>
      </w:r>
      <w:r>
        <w:rPr>
          <w:sz w:val="20"/>
        </w:rPr>
        <w:t>and</w:t>
      </w:r>
      <w:r>
        <w:rPr>
          <w:spacing w:val="-5"/>
          <w:sz w:val="20"/>
        </w:rPr>
        <w:t xml:space="preserve"> </w:t>
      </w:r>
      <w:r>
        <w:rPr>
          <w:sz w:val="20"/>
        </w:rPr>
        <w:t>in</w:t>
      </w:r>
      <w:r>
        <w:rPr>
          <w:spacing w:val="-5"/>
          <w:sz w:val="20"/>
        </w:rPr>
        <w:t xml:space="preserve"> </w:t>
      </w:r>
      <w:r>
        <w:rPr>
          <w:sz w:val="20"/>
        </w:rPr>
        <w:t>the</w:t>
      </w:r>
      <w:r>
        <w:rPr>
          <w:spacing w:val="-3"/>
          <w:sz w:val="20"/>
        </w:rPr>
        <w:t xml:space="preserve"> </w:t>
      </w:r>
      <w:r>
        <w:rPr>
          <w:sz w:val="20"/>
        </w:rPr>
        <w:t>system</w:t>
      </w:r>
      <w:r>
        <w:rPr>
          <w:spacing w:val="-1"/>
          <w:sz w:val="20"/>
        </w:rPr>
        <w:t xml:space="preserve"> </w:t>
      </w:r>
      <w:r>
        <w:rPr>
          <w:sz w:val="20"/>
        </w:rPr>
        <w:t>of</w:t>
      </w:r>
      <w:r>
        <w:rPr>
          <w:spacing w:val="-3"/>
          <w:sz w:val="20"/>
        </w:rPr>
        <w:t xml:space="preserve"> </w:t>
      </w:r>
      <w:r>
        <w:rPr>
          <w:sz w:val="20"/>
        </w:rPr>
        <w:t>government</w:t>
      </w:r>
      <w:r>
        <w:rPr>
          <w:spacing w:val="-5"/>
          <w:sz w:val="20"/>
        </w:rPr>
        <w:t xml:space="preserve"> </w:t>
      </w:r>
      <w:r>
        <w:rPr>
          <w:sz w:val="20"/>
        </w:rPr>
        <w:t>of</w:t>
      </w:r>
      <w:r>
        <w:rPr>
          <w:spacing w:val="-3"/>
          <w:sz w:val="20"/>
        </w:rPr>
        <w:t xml:space="preserve"> </w:t>
      </w:r>
      <w:r>
        <w:rPr>
          <w:sz w:val="20"/>
        </w:rPr>
        <w:t>this church, and at the discretion of the presbytery in other</w:t>
      </w:r>
      <w:r>
        <w:rPr>
          <w:spacing w:val="-8"/>
          <w:sz w:val="20"/>
        </w:rPr>
        <w:t xml:space="preserve"> </w:t>
      </w:r>
      <w:r>
        <w:rPr>
          <w:sz w:val="20"/>
        </w:rPr>
        <w:t>subjects.</w:t>
      </w:r>
    </w:p>
    <w:p w:rsidR="00947F3A" w:rsidRDefault="00FB36CA">
      <w:pPr>
        <w:pStyle w:val="ListParagraph"/>
        <w:numPr>
          <w:ilvl w:val="2"/>
          <w:numId w:val="1"/>
        </w:numPr>
        <w:tabs>
          <w:tab w:val="left" w:pos="1180"/>
          <w:tab w:val="left" w:pos="1181"/>
        </w:tabs>
        <w:spacing w:before="118"/>
        <w:rPr>
          <w:sz w:val="20"/>
        </w:rPr>
      </w:pPr>
      <w:r>
        <w:rPr>
          <w:sz w:val="20"/>
        </w:rPr>
        <w:t>Answer the or</w:t>
      </w:r>
      <w:r>
        <w:rPr>
          <w:sz w:val="20"/>
        </w:rPr>
        <w:t>dination questions in the</w:t>
      </w:r>
      <w:r>
        <w:rPr>
          <w:spacing w:val="-4"/>
          <w:sz w:val="20"/>
        </w:rPr>
        <w:t xml:space="preserve"> </w:t>
      </w:r>
      <w:r>
        <w:rPr>
          <w:sz w:val="20"/>
        </w:rPr>
        <w:t>affirmative.</w:t>
      </w:r>
    </w:p>
    <w:p w:rsidR="00947F3A" w:rsidRDefault="00FB36CA">
      <w:pPr>
        <w:pStyle w:val="ListParagraph"/>
        <w:numPr>
          <w:ilvl w:val="2"/>
          <w:numId w:val="1"/>
        </w:numPr>
        <w:tabs>
          <w:tab w:val="left" w:pos="1180"/>
          <w:tab w:val="left" w:pos="1181"/>
        </w:tabs>
        <w:spacing w:before="121"/>
        <w:ind w:right="426"/>
        <w:rPr>
          <w:sz w:val="20"/>
        </w:rPr>
      </w:pPr>
      <w:r>
        <w:rPr>
          <w:sz w:val="20"/>
        </w:rPr>
        <w:t>Furnish</w:t>
      </w:r>
      <w:r>
        <w:rPr>
          <w:spacing w:val="-5"/>
          <w:sz w:val="20"/>
        </w:rPr>
        <w:t xml:space="preserve"> </w:t>
      </w:r>
      <w:r>
        <w:rPr>
          <w:sz w:val="20"/>
        </w:rPr>
        <w:t>evidence</w:t>
      </w:r>
      <w:r>
        <w:rPr>
          <w:spacing w:val="-5"/>
          <w:sz w:val="20"/>
        </w:rPr>
        <w:t xml:space="preserve"> </w:t>
      </w:r>
      <w:r>
        <w:rPr>
          <w:sz w:val="20"/>
        </w:rPr>
        <w:t>that</w:t>
      </w:r>
      <w:r>
        <w:rPr>
          <w:spacing w:val="-6"/>
          <w:sz w:val="20"/>
        </w:rPr>
        <w:t xml:space="preserve"> </w:t>
      </w:r>
      <w:r>
        <w:rPr>
          <w:sz w:val="20"/>
        </w:rPr>
        <w:t>they</w:t>
      </w:r>
      <w:r>
        <w:rPr>
          <w:spacing w:val="-4"/>
          <w:sz w:val="20"/>
        </w:rPr>
        <w:t xml:space="preserve"> </w:t>
      </w:r>
      <w:r>
        <w:rPr>
          <w:sz w:val="20"/>
        </w:rPr>
        <w:t>have</w:t>
      </w:r>
      <w:r>
        <w:rPr>
          <w:spacing w:val="-5"/>
          <w:sz w:val="20"/>
        </w:rPr>
        <w:t xml:space="preserve"> </w:t>
      </w:r>
      <w:r>
        <w:rPr>
          <w:sz w:val="20"/>
        </w:rPr>
        <w:t>been</w:t>
      </w:r>
      <w:r>
        <w:rPr>
          <w:spacing w:val="-3"/>
          <w:sz w:val="20"/>
        </w:rPr>
        <w:t xml:space="preserve"> </w:t>
      </w:r>
      <w:r>
        <w:rPr>
          <w:sz w:val="20"/>
        </w:rPr>
        <w:t>officially</w:t>
      </w:r>
      <w:r>
        <w:rPr>
          <w:spacing w:val="-8"/>
          <w:sz w:val="20"/>
        </w:rPr>
        <w:t xml:space="preserve"> </w:t>
      </w:r>
      <w:r>
        <w:rPr>
          <w:sz w:val="20"/>
        </w:rPr>
        <w:t>removed</w:t>
      </w:r>
      <w:r>
        <w:rPr>
          <w:spacing w:val="-5"/>
          <w:sz w:val="20"/>
        </w:rPr>
        <w:t xml:space="preserve"> </w:t>
      </w:r>
      <w:r>
        <w:rPr>
          <w:sz w:val="20"/>
        </w:rPr>
        <w:t>from</w:t>
      </w:r>
      <w:r>
        <w:rPr>
          <w:spacing w:val="-1"/>
          <w:sz w:val="20"/>
        </w:rPr>
        <w:t xml:space="preserve"> </w:t>
      </w:r>
      <w:r>
        <w:rPr>
          <w:sz w:val="20"/>
        </w:rPr>
        <w:t>the</w:t>
      </w:r>
      <w:r>
        <w:rPr>
          <w:spacing w:val="-5"/>
          <w:sz w:val="20"/>
        </w:rPr>
        <w:t xml:space="preserve"> </w:t>
      </w:r>
      <w:r>
        <w:rPr>
          <w:sz w:val="20"/>
        </w:rPr>
        <w:t>roll</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other</w:t>
      </w:r>
      <w:r>
        <w:rPr>
          <w:spacing w:val="-5"/>
          <w:sz w:val="20"/>
        </w:rPr>
        <w:t xml:space="preserve"> </w:t>
      </w:r>
      <w:r>
        <w:rPr>
          <w:sz w:val="20"/>
        </w:rPr>
        <w:t>Christian denomination.</w:t>
      </w:r>
    </w:p>
    <w:p w:rsidR="00947F3A" w:rsidRDefault="00947F3A">
      <w:pPr>
        <w:pStyle w:val="BodyText"/>
        <w:spacing w:before="8"/>
      </w:pPr>
    </w:p>
    <w:p w:rsidR="00947F3A" w:rsidRDefault="00FB36CA">
      <w:pPr>
        <w:pStyle w:val="Heading1"/>
      </w:pPr>
      <w:r>
        <w:t>New immigrant fellowship and congregations</w:t>
      </w:r>
    </w:p>
    <w:p w:rsidR="00947F3A" w:rsidRDefault="00947F3A">
      <w:pPr>
        <w:pStyle w:val="BodyText"/>
        <w:spacing w:before="2"/>
        <w:rPr>
          <w:b/>
          <w:sz w:val="21"/>
        </w:rPr>
      </w:pPr>
    </w:p>
    <w:p w:rsidR="00947F3A" w:rsidRDefault="00FB36CA">
      <w:pPr>
        <w:pStyle w:val="BodyText"/>
        <w:ind w:left="100" w:right="91"/>
      </w:pPr>
      <w:r>
        <w:t xml:space="preserve">In the case of ministers for immigrant fellowships and congregations, a presbytery may, if it determines that its strategy for mission with that group requires it, recognize the ordination and receive as a member of presbytery a new immigrant minister who </w:t>
      </w:r>
      <w:r>
        <w:t>furnishes evidence of good standing in a Christian denomination. For more information, see G-</w:t>
      </w:r>
      <w:proofErr w:type="gramStart"/>
      <w:r>
        <w:t>2.0505a(</w:t>
      </w:r>
      <w:proofErr w:type="gramEnd"/>
      <w:r>
        <w:t>1).</w:t>
      </w:r>
    </w:p>
    <w:p w:rsidR="00947F3A" w:rsidRDefault="00947F3A">
      <w:pPr>
        <w:pStyle w:val="BodyText"/>
        <w:spacing w:before="9"/>
      </w:pPr>
    </w:p>
    <w:p w:rsidR="00947F3A" w:rsidRDefault="00FB36CA">
      <w:pPr>
        <w:pStyle w:val="BodyText"/>
        <w:ind w:left="100" w:right="133"/>
      </w:pPr>
      <w:r>
        <w:t>It is essential that the committee on ministry (COM) meet with each non-Presbyterian minister to assess theology</w:t>
      </w:r>
      <w:r>
        <w:rPr>
          <w:spacing w:val="-6"/>
        </w:rPr>
        <w:t xml:space="preserve"> </w:t>
      </w:r>
      <w:r>
        <w:t>and</w:t>
      </w:r>
      <w:r>
        <w:rPr>
          <w:spacing w:val="-4"/>
        </w:rPr>
        <w:t xml:space="preserve"> </w:t>
      </w:r>
      <w:r>
        <w:t>practice</w:t>
      </w:r>
      <w:r>
        <w:rPr>
          <w:spacing w:val="-4"/>
        </w:rPr>
        <w:t xml:space="preserve"> </w:t>
      </w:r>
      <w:r>
        <w:t>of</w:t>
      </w:r>
      <w:r>
        <w:rPr>
          <w:spacing w:val="-6"/>
        </w:rPr>
        <w:t xml:space="preserve"> </w:t>
      </w:r>
      <w:r>
        <w:t>ministry,</w:t>
      </w:r>
      <w:r>
        <w:rPr>
          <w:spacing w:val="-4"/>
        </w:rPr>
        <w:t xml:space="preserve"> </w:t>
      </w:r>
      <w:r>
        <w:t>understandi</w:t>
      </w:r>
      <w:r>
        <w:t>ngs</w:t>
      </w:r>
      <w:r>
        <w:rPr>
          <w:spacing w:val="-5"/>
        </w:rPr>
        <w:t xml:space="preserve"> </w:t>
      </w:r>
      <w:r>
        <w:t>of</w:t>
      </w:r>
      <w:r>
        <w:rPr>
          <w:spacing w:val="-4"/>
        </w:rPr>
        <w:t xml:space="preserve"> </w:t>
      </w:r>
      <w:r>
        <w:t>Presbyterian</w:t>
      </w:r>
      <w:r>
        <w:rPr>
          <w:spacing w:val="-5"/>
        </w:rPr>
        <w:t xml:space="preserve"> </w:t>
      </w:r>
      <w:r>
        <w:t>government,</w:t>
      </w:r>
      <w:r>
        <w:rPr>
          <w:spacing w:val="-5"/>
        </w:rPr>
        <w:t xml:space="preserve"> </w:t>
      </w:r>
      <w:r>
        <w:t>and</w:t>
      </w:r>
      <w:r>
        <w:rPr>
          <w:spacing w:val="-5"/>
        </w:rPr>
        <w:t xml:space="preserve"> </w:t>
      </w:r>
      <w:r>
        <w:t>their</w:t>
      </w:r>
      <w:r>
        <w:rPr>
          <w:spacing w:val="-5"/>
        </w:rPr>
        <w:t xml:space="preserve"> </w:t>
      </w:r>
      <w:r>
        <w:t>intentions</w:t>
      </w:r>
      <w:r>
        <w:rPr>
          <w:spacing w:val="-5"/>
        </w:rPr>
        <w:t xml:space="preserve"> </w:t>
      </w:r>
      <w:r>
        <w:t>as</w:t>
      </w:r>
      <w:r>
        <w:rPr>
          <w:spacing w:val="-3"/>
        </w:rPr>
        <w:t xml:space="preserve"> </w:t>
      </w:r>
      <w:r>
        <w:t>well as to explain the presbytery’s goals for the church and resources available to the minister. It is wise for the COM to get involved early in a relationship between a congregation and a non-Presby</w:t>
      </w:r>
      <w:r>
        <w:t>terian pastor rather than be faced with the unpleasant task of telling a church the pastor with whom they have built a relationship cannot serve</w:t>
      </w:r>
      <w:r>
        <w:rPr>
          <w:spacing w:val="-4"/>
        </w:rPr>
        <w:t xml:space="preserve"> </w:t>
      </w:r>
      <w:r>
        <w:t>them.</w:t>
      </w:r>
    </w:p>
    <w:p w:rsidR="00947F3A" w:rsidRDefault="00947F3A">
      <w:pPr>
        <w:pStyle w:val="BodyText"/>
        <w:spacing w:before="10"/>
      </w:pPr>
    </w:p>
    <w:p w:rsidR="00947F3A" w:rsidRDefault="00FB36CA">
      <w:pPr>
        <w:pStyle w:val="BodyText"/>
        <w:ind w:left="100" w:right="198"/>
      </w:pPr>
      <w:r>
        <w:t xml:space="preserve">The Office of the General Assembly website maintains the list of churches that are “in correspondence” </w:t>
      </w:r>
      <w:hyperlink r:id="rId6" w:anchor="correspondence">
        <w:r>
          <w:rPr>
            <w:color w:val="0000FF"/>
            <w:u w:val="single" w:color="0000FF"/>
          </w:rPr>
          <w:t>http://oga.pcusa.org/ecumenicalrelations/relationships.htm#correspondence</w:t>
        </w:r>
        <w:r>
          <w:t xml:space="preserve">. </w:t>
        </w:r>
      </w:hyperlink>
      <w:r>
        <w:t>A confirmation of a church “in correspondence” status can be requested from the Eccl</w:t>
      </w:r>
      <w:r>
        <w:t>esial and Ecumenical Ministries office at (888) 728-7228 ext.5431.</w:t>
      </w:r>
    </w:p>
    <w:p w:rsidR="00947F3A" w:rsidRDefault="00947F3A">
      <w:pPr>
        <w:pStyle w:val="BodyText"/>
        <w:rPr>
          <w:sz w:val="22"/>
        </w:rPr>
      </w:pPr>
    </w:p>
    <w:p w:rsidR="00947F3A" w:rsidRDefault="00947F3A">
      <w:pPr>
        <w:pStyle w:val="BodyText"/>
        <w:spacing w:before="4"/>
      </w:pPr>
    </w:p>
    <w:p w:rsidR="00947F3A" w:rsidRDefault="00FB36CA">
      <w:pPr>
        <w:pStyle w:val="BodyText"/>
        <w:ind w:right="98"/>
        <w:jc w:val="right"/>
        <w:rPr>
          <w:rFonts w:ascii="Calibri"/>
        </w:rPr>
      </w:pPr>
      <w:bookmarkStart w:id="0" w:name="_GoBack"/>
      <w:bookmarkEnd w:id="0"/>
      <w:r>
        <w:rPr>
          <w:rFonts w:ascii="Calibri"/>
        </w:rPr>
        <w:t>Revised 12/17/2013</w:t>
      </w:r>
    </w:p>
    <w:sectPr w:rsidR="00947F3A">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131"/>
    <w:multiLevelType w:val="hybridMultilevel"/>
    <w:tmpl w:val="C24A151C"/>
    <w:lvl w:ilvl="0" w:tplc="12CC6E3A">
      <w:start w:val="1"/>
      <w:numFmt w:val="upperLetter"/>
      <w:lvlText w:val="%1."/>
      <w:lvlJc w:val="left"/>
      <w:pPr>
        <w:ind w:left="100" w:hanging="360"/>
        <w:jc w:val="left"/>
      </w:pPr>
      <w:rPr>
        <w:rFonts w:ascii="Arial" w:eastAsia="Arial" w:hAnsi="Arial" w:cs="Arial" w:hint="default"/>
        <w:spacing w:val="-1"/>
        <w:w w:val="99"/>
        <w:sz w:val="20"/>
        <w:szCs w:val="20"/>
      </w:rPr>
    </w:lvl>
    <w:lvl w:ilvl="1" w:tplc="1FDCA638">
      <w:start w:val="1"/>
      <w:numFmt w:val="decimal"/>
      <w:lvlText w:val="%2."/>
      <w:lvlJc w:val="left"/>
      <w:pPr>
        <w:ind w:left="820" w:hanging="360"/>
        <w:jc w:val="left"/>
      </w:pPr>
      <w:rPr>
        <w:rFonts w:ascii="Arial" w:eastAsia="Arial" w:hAnsi="Arial" w:cs="Arial" w:hint="default"/>
        <w:spacing w:val="-1"/>
        <w:w w:val="99"/>
        <w:sz w:val="20"/>
        <w:szCs w:val="20"/>
      </w:rPr>
    </w:lvl>
    <w:lvl w:ilvl="2" w:tplc="30F457B2">
      <w:numFmt w:val="bullet"/>
      <w:lvlText w:val="-"/>
      <w:lvlJc w:val="left"/>
      <w:pPr>
        <w:ind w:left="1180" w:hanging="360"/>
      </w:pPr>
      <w:rPr>
        <w:rFonts w:ascii="Arial" w:eastAsia="Arial" w:hAnsi="Arial" w:cs="Arial" w:hint="default"/>
        <w:w w:val="99"/>
        <w:sz w:val="20"/>
        <w:szCs w:val="20"/>
      </w:rPr>
    </w:lvl>
    <w:lvl w:ilvl="3" w:tplc="E042F892">
      <w:numFmt w:val="bullet"/>
      <w:lvlText w:val="•"/>
      <w:lvlJc w:val="left"/>
      <w:pPr>
        <w:ind w:left="2227" w:hanging="360"/>
      </w:pPr>
      <w:rPr>
        <w:rFonts w:hint="default"/>
      </w:rPr>
    </w:lvl>
    <w:lvl w:ilvl="4" w:tplc="9084A118">
      <w:numFmt w:val="bullet"/>
      <w:lvlText w:val="•"/>
      <w:lvlJc w:val="left"/>
      <w:pPr>
        <w:ind w:left="3275" w:hanging="360"/>
      </w:pPr>
      <w:rPr>
        <w:rFonts w:hint="default"/>
      </w:rPr>
    </w:lvl>
    <w:lvl w:ilvl="5" w:tplc="80B64E36">
      <w:numFmt w:val="bullet"/>
      <w:lvlText w:val="•"/>
      <w:lvlJc w:val="left"/>
      <w:pPr>
        <w:ind w:left="4322" w:hanging="360"/>
      </w:pPr>
      <w:rPr>
        <w:rFonts w:hint="default"/>
      </w:rPr>
    </w:lvl>
    <w:lvl w:ilvl="6" w:tplc="D5F81A4E">
      <w:numFmt w:val="bullet"/>
      <w:lvlText w:val="•"/>
      <w:lvlJc w:val="left"/>
      <w:pPr>
        <w:ind w:left="5370" w:hanging="360"/>
      </w:pPr>
      <w:rPr>
        <w:rFonts w:hint="default"/>
      </w:rPr>
    </w:lvl>
    <w:lvl w:ilvl="7" w:tplc="88E05B46">
      <w:numFmt w:val="bullet"/>
      <w:lvlText w:val="•"/>
      <w:lvlJc w:val="left"/>
      <w:pPr>
        <w:ind w:left="6417" w:hanging="360"/>
      </w:pPr>
      <w:rPr>
        <w:rFonts w:hint="default"/>
      </w:rPr>
    </w:lvl>
    <w:lvl w:ilvl="8" w:tplc="F8BCE118">
      <w:numFmt w:val="bullet"/>
      <w:lvlText w:val="•"/>
      <w:lvlJc w:val="left"/>
      <w:pPr>
        <w:ind w:left="74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3A"/>
    <w:rsid w:val="00947F3A"/>
    <w:rsid w:val="00FB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86C43-012B-4D5A-91CF-FAB77B83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a.pcusa.org/ecumenicalrelations/relationships.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 PSLPCUSA</dc:creator>
  <cp:lastModifiedBy>Jay Wilkins</cp:lastModifiedBy>
  <cp:revision>2</cp:revision>
  <dcterms:created xsi:type="dcterms:W3CDTF">2018-11-30T16:50:00Z</dcterms:created>
  <dcterms:modified xsi:type="dcterms:W3CDTF">2018-11-30T16:50:00Z</dcterms:modified>
</cp:coreProperties>
</file>