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1573" w14:textId="77777777" w:rsidR="00271A3E" w:rsidRDefault="00E84E44">
      <w:pPr>
        <w:jc w:val="center"/>
        <w:rPr>
          <w:b/>
          <w:sz w:val="24"/>
          <w:szCs w:val="24"/>
        </w:rPr>
      </w:pPr>
      <w:r>
        <w:rPr>
          <w:b/>
          <w:sz w:val="24"/>
          <w:szCs w:val="24"/>
        </w:rPr>
        <w:t>PRESBYTERY OF SHEPPARDS AND LAPSLEY</w:t>
      </w:r>
    </w:p>
    <w:p w14:paraId="7A929DA9" w14:textId="77777777" w:rsidR="00271A3E" w:rsidRDefault="00E84E44">
      <w:pPr>
        <w:jc w:val="center"/>
        <w:rPr>
          <w:b/>
          <w:sz w:val="24"/>
          <w:szCs w:val="24"/>
        </w:rPr>
      </w:pPr>
      <w:r>
        <w:rPr>
          <w:b/>
          <w:sz w:val="24"/>
          <w:szCs w:val="24"/>
        </w:rPr>
        <w:t>TERMS OF CALL</w:t>
      </w:r>
    </w:p>
    <w:p w14:paraId="65B76822" w14:textId="77777777" w:rsidR="00271A3E" w:rsidRDefault="00271A3E">
      <w:pPr>
        <w:jc w:val="right"/>
        <w:rPr>
          <w:sz w:val="24"/>
          <w:szCs w:val="24"/>
        </w:rPr>
      </w:pPr>
    </w:p>
    <w:p w14:paraId="4822D76A" w14:textId="77777777" w:rsidR="00271A3E" w:rsidRDefault="00E84E44">
      <w:pPr>
        <w:jc w:val="right"/>
        <w:rPr>
          <w:sz w:val="24"/>
          <w:szCs w:val="24"/>
        </w:rPr>
      </w:pPr>
      <w:r>
        <w:rPr>
          <w:sz w:val="24"/>
          <w:szCs w:val="24"/>
        </w:rPr>
        <w:t xml:space="preserve">Approved by COM 12/08/20 for recommendation to </w:t>
      </w:r>
      <w:proofErr w:type="gramStart"/>
      <w:r>
        <w:rPr>
          <w:sz w:val="24"/>
          <w:szCs w:val="24"/>
        </w:rPr>
        <w:t>PSL</w:t>
      </w:r>
      <w:proofErr w:type="gramEnd"/>
    </w:p>
    <w:p w14:paraId="7BAEC908" w14:textId="77777777" w:rsidR="00271A3E" w:rsidRDefault="00271A3E">
      <w:pPr>
        <w:rPr>
          <w:sz w:val="24"/>
          <w:szCs w:val="24"/>
        </w:rPr>
      </w:pPr>
    </w:p>
    <w:p w14:paraId="7B633BB4" w14:textId="77777777" w:rsidR="00271A3E" w:rsidRDefault="00E84E44">
      <w:pPr>
        <w:rPr>
          <w:sz w:val="24"/>
          <w:szCs w:val="24"/>
          <w:u w:val="single"/>
        </w:rPr>
      </w:pPr>
      <w:r>
        <w:rPr>
          <w:sz w:val="24"/>
          <w:szCs w:val="24"/>
          <w:u w:val="single"/>
        </w:rPr>
        <w:t>Three-way Contract</w:t>
      </w:r>
    </w:p>
    <w:p w14:paraId="28F655B6" w14:textId="77777777" w:rsidR="00271A3E" w:rsidRDefault="00E84E44">
      <w:pPr>
        <w:rPr>
          <w:sz w:val="24"/>
          <w:szCs w:val="24"/>
        </w:rPr>
      </w:pPr>
      <w:r>
        <w:rPr>
          <w:sz w:val="24"/>
          <w:szCs w:val="24"/>
        </w:rPr>
        <w:tab/>
      </w:r>
      <w:r>
        <w:rPr>
          <w:sz w:val="24"/>
          <w:szCs w:val="24"/>
        </w:rPr>
        <w:t>A pastoral call to a church requires the approval of the congregation calling, the minister being called, and the Presbytery (through its Commission on Ministry).  Once established, change in the terms of call likewise requires the approval of all three pa</w:t>
      </w:r>
      <w:r>
        <w:rPr>
          <w:sz w:val="24"/>
          <w:szCs w:val="24"/>
        </w:rPr>
        <w:t>rties.</w:t>
      </w:r>
    </w:p>
    <w:p w14:paraId="0D43018F" w14:textId="77777777" w:rsidR="00271A3E" w:rsidRDefault="00271A3E">
      <w:pPr>
        <w:rPr>
          <w:sz w:val="24"/>
          <w:szCs w:val="24"/>
        </w:rPr>
      </w:pPr>
    </w:p>
    <w:p w14:paraId="5E9F87A4" w14:textId="77777777" w:rsidR="00271A3E" w:rsidRDefault="00E84E44">
      <w:pPr>
        <w:rPr>
          <w:sz w:val="24"/>
          <w:szCs w:val="24"/>
          <w:u w:val="single"/>
        </w:rPr>
      </w:pPr>
      <w:r>
        <w:rPr>
          <w:sz w:val="24"/>
          <w:szCs w:val="24"/>
          <w:u w:val="single"/>
        </w:rPr>
        <w:t>Annual review by Session</w:t>
      </w:r>
    </w:p>
    <w:p w14:paraId="29237D5D" w14:textId="77777777" w:rsidR="00271A3E" w:rsidRDefault="00E84E44">
      <w:pPr>
        <w:rPr>
          <w:sz w:val="24"/>
          <w:szCs w:val="24"/>
        </w:rPr>
      </w:pPr>
      <w:r>
        <w:rPr>
          <w:sz w:val="24"/>
          <w:szCs w:val="24"/>
        </w:rPr>
        <w:tab/>
        <w:t xml:space="preserve">“The Session shall review annually the minister’s terms of call and shall propose for congregational action (BO G-1.0501) such changes as the session deems appropriate, </w:t>
      </w:r>
      <w:proofErr w:type="gramStart"/>
      <w:r>
        <w:rPr>
          <w:sz w:val="24"/>
          <w:szCs w:val="24"/>
        </w:rPr>
        <w:t>provided that</w:t>
      </w:r>
      <w:proofErr w:type="gramEnd"/>
      <w:r>
        <w:rPr>
          <w:sz w:val="24"/>
          <w:szCs w:val="24"/>
        </w:rPr>
        <w:t xml:space="preserve"> they meet the Presbytery’s minimum requ</w:t>
      </w:r>
      <w:r>
        <w:rPr>
          <w:sz w:val="24"/>
          <w:szCs w:val="24"/>
        </w:rPr>
        <w:t>irements.  (See BO G-2.0804) Any reduction in effective salary must receive approval of the Commission on Ministry before payments are changed and must also be approved by the Presbytery with the Annual Approval of Terms of Call.  Bonuses and gifts paid by</w:t>
      </w:r>
      <w:r>
        <w:rPr>
          <w:sz w:val="24"/>
          <w:szCs w:val="24"/>
        </w:rPr>
        <w:t xml:space="preserve"> the church exceeding 20% of effective salary must receive prior approval by the presbytery.</w:t>
      </w:r>
    </w:p>
    <w:p w14:paraId="518D2A02" w14:textId="77777777" w:rsidR="00271A3E" w:rsidRDefault="00271A3E">
      <w:pPr>
        <w:rPr>
          <w:sz w:val="24"/>
          <w:szCs w:val="24"/>
        </w:rPr>
      </w:pPr>
    </w:p>
    <w:p w14:paraId="2F9164AC" w14:textId="77777777" w:rsidR="00271A3E" w:rsidRDefault="00E84E44">
      <w:pPr>
        <w:rPr>
          <w:sz w:val="24"/>
          <w:szCs w:val="24"/>
          <w:u w:val="single"/>
        </w:rPr>
      </w:pPr>
      <w:r>
        <w:rPr>
          <w:sz w:val="24"/>
          <w:szCs w:val="24"/>
          <w:u w:val="single"/>
        </w:rPr>
        <w:t>Annual cost of living consideration</w:t>
      </w:r>
    </w:p>
    <w:p w14:paraId="77CFDB12" w14:textId="77777777" w:rsidR="00271A3E" w:rsidRDefault="00E84E44">
      <w:pPr>
        <w:rPr>
          <w:sz w:val="24"/>
          <w:szCs w:val="24"/>
        </w:rPr>
      </w:pPr>
      <w:r>
        <w:rPr>
          <w:sz w:val="24"/>
          <w:szCs w:val="24"/>
        </w:rPr>
        <w:tab/>
        <w:t>In keeping with the annual review, sessions are urged to consider both merit increases and annual cost of living adjustments,</w:t>
      </w:r>
      <w:r>
        <w:rPr>
          <w:sz w:val="24"/>
          <w:szCs w:val="24"/>
        </w:rPr>
        <w:t xml:space="preserve"> mindful that less than the COLA represents a reduction of salary in terms of buying power.</w:t>
      </w:r>
      <w:r>
        <w:rPr>
          <w:sz w:val="24"/>
          <w:szCs w:val="24"/>
        </w:rPr>
        <w:tab/>
      </w:r>
    </w:p>
    <w:p w14:paraId="7C143167" w14:textId="77777777" w:rsidR="00271A3E" w:rsidRDefault="00271A3E">
      <w:pPr>
        <w:rPr>
          <w:sz w:val="24"/>
          <w:szCs w:val="24"/>
        </w:rPr>
      </w:pPr>
    </w:p>
    <w:p w14:paraId="2DB843F7" w14:textId="77777777" w:rsidR="00271A3E" w:rsidRDefault="00271A3E">
      <w:pPr>
        <w:rPr>
          <w:sz w:val="24"/>
          <w:szCs w:val="24"/>
        </w:rPr>
      </w:pPr>
    </w:p>
    <w:p w14:paraId="111424D6" w14:textId="77777777" w:rsidR="00271A3E" w:rsidRDefault="00E84E44">
      <w:pPr>
        <w:rPr>
          <w:sz w:val="24"/>
          <w:szCs w:val="24"/>
        </w:rPr>
      </w:pPr>
      <w:r>
        <w:rPr>
          <w:b/>
          <w:sz w:val="24"/>
          <w:szCs w:val="24"/>
        </w:rPr>
        <w:t>Minimum terms of call for full time ministers</w:t>
      </w:r>
      <w:r>
        <w:rPr>
          <w:sz w:val="24"/>
          <w:szCs w:val="24"/>
        </w:rPr>
        <w:t xml:space="preserve"> </w:t>
      </w:r>
    </w:p>
    <w:p w14:paraId="4CD5F1DE" w14:textId="77777777" w:rsidR="00271A3E" w:rsidRDefault="00E84E44">
      <w:pPr>
        <w:rPr>
          <w:sz w:val="24"/>
          <w:szCs w:val="24"/>
        </w:rPr>
      </w:pPr>
      <w:r>
        <w:rPr>
          <w:sz w:val="24"/>
          <w:szCs w:val="24"/>
        </w:rPr>
        <w:t xml:space="preserve">of the Presbytery of </w:t>
      </w:r>
      <w:proofErr w:type="spellStart"/>
      <w:r>
        <w:rPr>
          <w:sz w:val="24"/>
          <w:szCs w:val="24"/>
        </w:rPr>
        <w:t>Sheppards</w:t>
      </w:r>
      <w:proofErr w:type="spellEnd"/>
      <w:r>
        <w:rPr>
          <w:sz w:val="24"/>
          <w:szCs w:val="24"/>
        </w:rPr>
        <w:t xml:space="preserve"> and Lapsley  </w:t>
      </w:r>
    </w:p>
    <w:p w14:paraId="46ACC078" w14:textId="77777777" w:rsidR="00271A3E" w:rsidRDefault="00271A3E">
      <w:pPr>
        <w:rPr>
          <w:sz w:val="24"/>
          <w:szCs w:val="24"/>
        </w:rPr>
      </w:pPr>
    </w:p>
    <w:p w14:paraId="6C6087DE" w14:textId="77777777" w:rsidR="00271A3E" w:rsidRDefault="00E84E44">
      <w:pPr>
        <w:rPr>
          <w:sz w:val="24"/>
          <w:szCs w:val="24"/>
        </w:rPr>
      </w:pPr>
      <w:r>
        <w:rPr>
          <w:sz w:val="24"/>
          <w:szCs w:val="24"/>
        </w:rPr>
        <w:t>“The terms of call shall always meet or exceed any minimum requireme</w:t>
      </w:r>
      <w:r>
        <w:rPr>
          <w:sz w:val="24"/>
          <w:szCs w:val="24"/>
        </w:rPr>
        <w:t>nt of the presbytery in effect when the call is made.” (BO G-2.0804)</w:t>
      </w:r>
    </w:p>
    <w:p w14:paraId="4E494C67" w14:textId="77777777" w:rsidR="00271A3E" w:rsidRDefault="00271A3E">
      <w:pPr>
        <w:rPr>
          <w:sz w:val="24"/>
          <w:szCs w:val="24"/>
        </w:rPr>
      </w:pPr>
    </w:p>
    <w:p w14:paraId="6D04F5E3" w14:textId="77777777" w:rsidR="00271A3E" w:rsidRDefault="00E84E44">
      <w:pPr>
        <w:rPr>
          <w:i/>
          <w:sz w:val="24"/>
          <w:szCs w:val="24"/>
        </w:rPr>
      </w:pPr>
      <w:r>
        <w:rPr>
          <w:sz w:val="24"/>
          <w:szCs w:val="24"/>
        </w:rPr>
        <w:tab/>
      </w:r>
      <w:r>
        <w:rPr>
          <w:i/>
          <w:sz w:val="24"/>
          <w:szCs w:val="24"/>
        </w:rPr>
        <w:t>Effective salary</w:t>
      </w:r>
    </w:p>
    <w:p w14:paraId="725A09EF" w14:textId="77777777" w:rsidR="00271A3E" w:rsidRDefault="00E84E44">
      <w:pPr>
        <w:ind w:left="1440"/>
        <w:rPr>
          <w:sz w:val="24"/>
          <w:szCs w:val="24"/>
        </w:rPr>
      </w:pPr>
      <w:r>
        <w:rPr>
          <w:sz w:val="24"/>
          <w:szCs w:val="24"/>
        </w:rPr>
        <w:t xml:space="preserve">The effective salary is </w:t>
      </w:r>
      <w:r>
        <w:rPr>
          <w:color w:val="002060"/>
          <w:sz w:val="24"/>
          <w:szCs w:val="24"/>
        </w:rPr>
        <w:t>typically</w:t>
      </w:r>
      <w:r>
        <w:rPr>
          <w:sz w:val="24"/>
          <w:szCs w:val="24"/>
        </w:rPr>
        <w:t xml:space="preserve"> the sum of cash salary and housing allowance or the value of a manse. Please use the Effective Salary Worksheet on Page 6 to calculate</w:t>
      </w:r>
      <w:r>
        <w:rPr>
          <w:sz w:val="24"/>
          <w:szCs w:val="24"/>
        </w:rPr>
        <w:t xml:space="preserve"> Effective Salary. Effective Salary is used to calculate Board of Pension Dues.</w:t>
      </w:r>
    </w:p>
    <w:p w14:paraId="033C1B6D" w14:textId="77777777" w:rsidR="00271A3E" w:rsidRDefault="00E84E44">
      <w:pPr>
        <w:ind w:firstLine="720"/>
        <w:rPr>
          <w:sz w:val="24"/>
          <w:szCs w:val="24"/>
        </w:rPr>
      </w:pPr>
      <w:r>
        <w:rPr>
          <w:sz w:val="24"/>
          <w:szCs w:val="24"/>
        </w:rPr>
        <w:tab/>
      </w:r>
      <w:r>
        <w:rPr>
          <w:sz w:val="24"/>
          <w:szCs w:val="24"/>
        </w:rPr>
        <w:tab/>
      </w:r>
    </w:p>
    <w:p w14:paraId="33F4D2FB" w14:textId="77777777" w:rsidR="00271A3E" w:rsidRDefault="00E84E44">
      <w:pPr>
        <w:rPr>
          <w:i/>
          <w:sz w:val="24"/>
          <w:szCs w:val="24"/>
        </w:rPr>
      </w:pPr>
      <w:r>
        <w:rPr>
          <w:sz w:val="24"/>
          <w:szCs w:val="24"/>
        </w:rPr>
        <w:tab/>
      </w:r>
      <w:r>
        <w:rPr>
          <w:i/>
          <w:sz w:val="24"/>
          <w:szCs w:val="24"/>
        </w:rPr>
        <w:t>Cash salary</w:t>
      </w:r>
    </w:p>
    <w:p w14:paraId="524EAB5F" w14:textId="77777777" w:rsidR="00271A3E" w:rsidRDefault="00E84E44">
      <w:pPr>
        <w:ind w:left="1440"/>
        <w:rPr>
          <w:sz w:val="24"/>
          <w:szCs w:val="24"/>
        </w:rPr>
      </w:pPr>
      <w:r>
        <w:rPr>
          <w:sz w:val="24"/>
          <w:szCs w:val="24"/>
        </w:rPr>
        <w:t xml:space="preserve">Minimum salary is the amount that a starting pastor should receive and does not </w:t>
      </w:r>
      <w:proofErr w:type="gramStart"/>
      <w:r>
        <w:rPr>
          <w:sz w:val="24"/>
          <w:szCs w:val="24"/>
        </w:rPr>
        <w:t>take into account</w:t>
      </w:r>
      <w:proofErr w:type="gramEnd"/>
      <w:r>
        <w:rPr>
          <w:sz w:val="24"/>
          <w:szCs w:val="24"/>
        </w:rPr>
        <w:t xml:space="preserve"> the pastor’s education, experience, proficiency, abilities or </w:t>
      </w:r>
      <w:r>
        <w:rPr>
          <w:sz w:val="24"/>
          <w:szCs w:val="24"/>
        </w:rPr>
        <w:t>particular needs.</w:t>
      </w:r>
    </w:p>
    <w:p w14:paraId="2F11313B" w14:textId="77777777" w:rsidR="00271A3E" w:rsidRDefault="00E84E44">
      <w:pPr>
        <w:rPr>
          <w:sz w:val="24"/>
          <w:szCs w:val="24"/>
        </w:rPr>
      </w:pPr>
      <w:r>
        <w:rPr>
          <w:sz w:val="24"/>
          <w:szCs w:val="24"/>
        </w:rPr>
        <w:tab/>
      </w:r>
      <w:r>
        <w:rPr>
          <w:sz w:val="24"/>
          <w:szCs w:val="24"/>
        </w:rPr>
        <w:tab/>
        <w:t>Details of minimum cash salary are on page 5.</w:t>
      </w:r>
    </w:p>
    <w:p w14:paraId="419A767B" w14:textId="77777777" w:rsidR="00271A3E" w:rsidRDefault="00271A3E">
      <w:pPr>
        <w:rPr>
          <w:sz w:val="24"/>
          <w:szCs w:val="24"/>
        </w:rPr>
      </w:pPr>
    </w:p>
    <w:p w14:paraId="5DC0228D" w14:textId="77777777" w:rsidR="00271A3E" w:rsidRDefault="00271A3E">
      <w:pPr>
        <w:rPr>
          <w:sz w:val="24"/>
          <w:szCs w:val="24"/>
        </w:rPr>
      </w:pPr>
    </w:p>
    <w:p w14:paraId="2EFA5B35" w14:textId="77777777" w:rsidR="00271A3E" w:rsidRDefault="00271A3E">
      <w:pPr>
        <w:rPr>
          <w:sz w:val="24"/>
          <w:szCs w:val="24"/>
        </w:rPr>
      </w:pPr>
    </w:p>
    <w:p w14:paraId="5589CDE1" w14:textId="77777777" w:rsidR="00271A3E" w:rsidRDefault="00271A3E">
      <w:pPr>
        <w:rPr>
          <w:sz w:val="24"/>
          <w:szCs w:val="24"/>
        </w:rPr>
      </w:pPr>
    </w:p>
    <w:p w14:paraId="22AC1179" w14:textId="77777777" w:rsidR="00271A3E" w:rsidRDefault="00E84E44">
      <w:pPr>
        <w:rPr>
          <w:i/>
          <w:sz w:val="24"/>
          <w:szCs w:val="24"/>
        </w:rPr>
      </w:pPr>
      <w:r>
        <w:rPr>
          <w:sz w:val="24"/>
          <w:szCs w:val="24"/>
        </w:rPr>
        <w:lastRenderedPageBreak/>
        <w:tab/>
      </w:r>
      <w:r>
        <w:rPr>
          <w:i/>
          <w:sz w:val="24"/>
          <w:szCs w:val="24"/>
        </w:rPr>
        <w:t>Board of Pensions dues</w:t>
      </w:r>
      <w:r>
        <w:rPr>
          <w:i/>
          <w:sz w:val="24"/>
          <w:szCs w:val="24"/>
        </w:rPr>
        <w:tab/>
      </w:r>
    </w:p>
    <w:p w14:paraId="3E27158A" w14:textId="77777777" w:rsidR="00271A3E" w:rsidRDefault="00E84E44">
      <w:pPr>
        <w:ind w:left="1440"/>
        <w:rPr>
          <w:sz w:val="24"/>
          <w:szCs w:val="24"/>
        </w:rPr>
      </w:pPr>
      <w:r>
        <w:rPr>
          <w:sz w:val="24"/>
          <w:szCs w:val="24"/>
        </w:rPr>
        <w:t>“The call shall include participation in the benefits plan of the Presbyterian Church (USA), including both pension and medical coverage” (BO G-2.0804).  The current BOP dues are 37% of the total effective salary.</w:t>
      </w:r>
    </w:p>
    <w:p w14:paraId="7C722D04" w14:textId="77777777" w:rsidR="00271A3E" w:rsidRDefault="00271A3E">
      <w:pPr>
        <w:rPr>
          <w:sz w:val="24"/>
          <w:szCs w:val="24"/>
        </w:rPr>
      </w:pPr>
    </w:p>
    <w:p w14:paraId="4335E325" w14:textId="77777777" w:rsidR="00271A3E" w:rsidRDefault="00E84E44">
      <w:pPr>
        <w:rPr>
          <w:i/>
          <w:sz w:val="24"/>
          <w:szCs w:val="24"/>
        </w:rPr>
      </w:pPr>
      <w:r>
        <w:rPr>
          <w:sz w:val="24"/>
          <w:szCs w:val="24"/>
        </w:rPr>
        <w:tab/>
      </w:r>
      <w:r>
        <w:rPr>
          <w:i/>
          <w:sz w:val="24"/>
          <w:szCs w:val="24"/>
        </w:rPr>
        <w:t>Housing allowance</w:t>
      </w:r>
    </w:p>
    <w:p w14:paraId="0557E37A" w14:textId="77777777" w:rsidR="00271A3E" w:rsidRDefault="00E84E44">
      <w:pPr>
        <w:ind w:left="1440"/>
        <w:rPr>
          <w:sz w:val="24"/>
          <w:szCs w:val="24"/>
          <w:u w:val="single"/>
        </w:rPr>
      </w:pPr>
      <w:r>
        <w:rPr>
          <w:sz w:val="24"/>
          <w:szCs w:val="24"/>
        </w:rPr>
        <w:t>In lieu of a manse, th</w:t>
      </w:r>
      <w:r>
        <w:rPr>
          <w:sz w:val="24"/>
          <w:szCs w:val="24"/>
        </w:rPr>
        <w:t xml:space="preserve">e call shall include a housing allowance sufficient to provide a home.  To satisfy IRS requirements, any portion of the salary designated as housing allowance must be approved by the congregation </w:t>
      </w:r>
      <w:r>
        <w:rPr>
          <w:sz w:val="24"/>
          <w:szCs w:val="24"/>
          <w:u w:val="single"/>
        </w:rPr>
        <w:t>prior to payment</w:t>
      </w:r>
      <w:r>
        <w:rPr>
          <w:sz w:val="24"/>
          <w:szCs w:val="24"/>
        </w:rPr>
        <w:t xml:space="preserve">.  To facilitate this requirement, sessions </w:t>
      </w:r>
      <w:r>
        <w:rPr>
          <w:sz w:val="24"/>
          <w:szCs w:val="24"/>
        </w:rPr>
        <w:t xml:space="preserve">should </w:t>
      </w:r>
      <w:proofErr w:type="gramStart"/>
      <w:r>
        <w:rPr>
          <w:sz w:val="24"/>
          <w:szCs w:val="24"/>
        </w:rPr>
        <w:t>take action</w:t>
      </w:r>
      <w:proofErr w:type="gramEnd"/>
      <w:r>
        <w:rPr>
          <w:sz w:val="24"/>
          <w:szCs w:val="24"/>
        </w:rPr>
        <w:t xml:space="preserve"> on any proposed change in the housing allowance prior to the end of the tax year.</w:t>
      </w:r>
    </w:p>
    <w:p w14:paraId="17BE7B6A" w14:textId="77777777" w:rsidR="00271A3E" w:rsidRDefault="00271A3E">
      <w:pPr>
        <w:rPr>
          <w:sz w:val="24"/>
          <w:szCs w:val="24"/>
          <w:u w:val="single"/>
        </w:rPr>
      </w:pPr>
    </w:p>
    <w:p w14:paraId="01915EEA" w14:textId="77777777" w:rsidR="00271A3E" w:rsidRDefault="00E84E44">
      <w:pPr>
        <w:rPr>
          <w:i/>
          <w:sz w:val="24"/>
          <w:szCs w:val="24"/>
        </w:rPr>
      </w:pPr>
      <w:r>
        <w:rPr>
          <w:sz w:val="24"/>
          <w:szCs w:val="24"/>
        </w:rPr>
        <w:tab/>
      </w:r>
      <w:r>
        <w:rPr>
          <w:i/>
          <w:sz w:val="24"/>
          <w:szCs w:val="24"/>
        </w:rPr>
        <w:t>Social Security</w:t>
      </w:r>
      <w:r>
        <w:rPr>
          <w:i/>
          <w:sz w:val="24"/>
          <w:szCs w:val="24"/>
          <w:vertAlign w:val="superscript"/>
        </w:rPr>
        <w:footnoteReference w:id="1"/>
      </w:r>
    </w:p>
    <w:p w14:paraId="40F2DC79" w14:textId="77777777" w:rsidR="00271A3E" w:rsidRDefault="00E84E44">
      <w:pPr>
        <w:rPr>
          <w:sz w:val="24"/>
          <w:szCs w:val="24"/>
        </w:rPr>
      </w:pPr>
      <w:r>
        <w:rPr>
          <w:sz w:val="24"/>
          <w:szCs w:val="24"/>
        </w:rPr>
        <w:tab/>
      </w:r>
      <w:r>
        <w:rPr>
          <w:sz w:val="24"/>
          <w:szCs w:val="24"/>
        </w:rPr>
        <w:tab/>
        <w:t>The call shall include a reimbursement of at least 50% of the SECA obligation.</w:t>
      </w:r>
    </w:p>
    <w:p w14:paraId="4000E0E7" w14:textId="77777777" w:rsidR="00271A3E" w:rsidRDefault="00271A3E">
      <w:pPr>
        <w:rPr>
          <w:sz w:val="24"/>
          <w:szCs w:val="24"/>
        </w:rPr>
      </w:pPr>
    </w:p>
    <w:p w14:paraId="7CC0E624" w14:textId="77777777" w:rsidR="00271A3E" w:rsidRDefault="00E84E44">
      <w:pPr>
        <w:rPr>
          <w:i/>
          <w:sz w:val="24"/>
          <w:szCs w:val="24"/>
        </w:rPr>
      </w:pPr>
      <w:r>
        <w:rPr>
          <w:sz w:val="24"/>
          <w:szCs w:val="24"/>
        </w:rPr>
        <w:tab/>
      </w:r>
      <w:r>
        <w:rPr>
          <w:i/>
          <w:sz w:val="24"/>
          <w:szCs w:val="24"/>
        </w:rPr>
        <w:t>Professional expenses</w:t>
      </w:r>
    </w:p>
    <w:p w14:paraId="0F49E652" w14:textId="77777777" w:rsidR="00271A3E" w:rsidRDefault="00E84E44">
      <w:pPr>
        <w:ind w:left="1440"/>
        <w:rPr>
          <w:sz w:val="24"/>
          <w:szCs w:val="24"/>
        </w:rPr>
      </w:pPr>
      <w:r>
        <w:rPr>
          <w:sz w:val="24"/>
          <w:szCs w:val="24"/>
        </w:rPr>
        <w:t>While specific amounts may be part of the call, it is advantageous to the pastor to have this in a designated “Accountable Reimbursement Plan” whereby the minister is reimbursed for substantiated documented expenses (auto, travel, continuing education even</w:t>
      </w:r>
      <w:r>
        <w:rPr>
          <w:sz w:val="24"/>
          <w:szCs w:val="24"/>
        </w:rPr>
        <w:t>ts, books, etc.).  These expenses are thereby not included in reportable income for IRS purposes.  A minimum allocated by the church should be $4000.</w:t>
      </w:r>
    </w:p>
    <w:p w14:paraId="2115995B" w14:textId="77777777" w:rsidR="00271A3E" w:rsidRDefault="00271A3E">
      <w:pPr>
        <w:rPr>
          <w:sz w:val="24"/>
          <w:szCs w:val="24"/>
        </w:rPr>
      </w:pPr>
    </w:p>
    <w:p w14:paraId="54A8E910" w14:textId="77777777" w:rsidR="00271A3E" w:rsidRDefault="00E84E44">
      <w:pPr>
        <w:ind w:firstLine="720"/>
        <w:rPr>
          <w:i/>
          <w:sz w:val="24"/>
          <w:szCs w:val="24"/>
        </w:rPr>
      </w:pPr>
      <w:r>
        <w:rPr>
          <w:i/>
          <w:sz w:val="24"/>
          <w:szCs w:val="24"/>
        </w:rPr>
        <w:t>Moving expenses</w:t>
      </w:r>
    </w:p>
    <w:p w14:paraId="6F01DCB5" w14:textId="77777777" w:rsidR="00271A3E" w:rsidRDefault="00E84E44">
      <w:pPr>
        <w:ind w:left="1440"/>
        <w:rPr>
          <w:sz w:val="24"/>
          <w:szCs w:val="24"/>
        </w:rPr>
      </w:pPr>
      <w:r>
        <w:rPr>
          <w:sz w:val="24"/>
          <w:szCs w:val="24"/>
        </w:rPr>
        <w:t>The calling Church pays for or reimburses pastor for reasonable moving expenses incurred.</w:t>
      </w:r>
    </w:p>
    <w:p w14:paraId="357CFA0D" w14:textId="77777777" w:rsidR="00271A3E" w:rsidRDefault="00271A3E">
      <w:pPr>
        <w:rPr>
          <w:sz w:val="24"/>
          <w:szCs w:val="24"/>
        </w:rPr>
      </w:pPr>
    </w:p>
    <w:p w14:paraId="16918696" w14:textId="77777777" w:rsidR="00271A3E" w:rsidRDefault="00E84E44">
      <w:pPr>
        <w:rPr>
          <w:i/>
          <w:sz w:val="24"/>
          <w:szCs w:val="24"/>
        </w:rPr>
      </w:pPr>
      <w:r>
        <w:rPr>
          <w:sz w:val="24"/>
          <w:szCs w:val="24"/>
        </w:rPr>
        <w:tab/>
      </w:r>
      <w:r>
        <w:rPr>
          <w:i/>
          <w:sz w:val="24"/>
          <w:szCs w:val="24"/>
        </w:rPr>
        <w:t>Continuing Education and Study Leave</w:t>
      </w:r>
    </w:p>
    <w:p w14:paraId="67E4F55E" w14:textId="77777777" w:rsidR="00271A3E" w:rsidRDefault="00E84E44">
      <w:pPr>
        <w:ind w:left="1440"/>
        <w:rPr>
          <w:sz w:val="24"/>
          <w:szCs w:val="24"/>
        </w:rPr>
      </w:pPr>
      <w:r>
        <w:rPr>
          <w:sz w:val="24"/>
          <w:szCs w:val="24"/>
        </w:rPr>
        <w:t>Two weeks shall be allowed each year in the terms of call for continuing education or independent study provided it is used for that purpose.  It is not to be regarded as additional vacation.</w:t>
      </w:r>
    </w:p>
    <w:p w14:paraId="55A5FEEC" w14:textId="77777777" w:rsidR="00271A3E" w:rsidRDefault="00271A3E">
      <w:pPr>
        <w:rPr>
          <w:sz w:val="24"/>
          <w:szCs w:val="24"/>
        </w:rPr>
      </w:pPr>
    </w:p>
    <w:p w14:paraId="5C319387" w14:textId="77777777" w:rsidR="00271A3E" w:rsidRDefault="00E84E44">
      <w:pPr>
        <w:rPr>
          <w:i/>
          <w:sz w:val="24"/>
          <w:szCs w:val="24"/>
        </w:rPr>
      </w:pPr>
      <w:r>
        <w:rPr>
          <w:sz w:val="24"/>
          <w:szCs w:val="24"/>
        </w:rPr>
        <w:tab/>
      </w:r>
      <w:r>
        <w:rPr>
          <w:i/>
          <w:sz w:val="24"/>
          <w:szCs w:val="24"/>
        </w:rPr>
        <w:t>Vacation</w:t>
      </w:r>
    </w:p>
    <w:p w14:paraId="74F57C2E" w14:textId="77777777" w:rsidR="00271A3E" w:rsidRDefault="00E84E44">
      <w:pPr>
        <w:ind w:left="1440"/>
        <w:rPr>
          <w:sz w:val="24"/>
          <w:szCs w:val="24"/>
        </w:rPr>
      </w:pPr>
      <w:r>
        <w:rPr>
          <w:sz w:val="24"/>
          <w:szCs w:val="24"/>
        </w:rPr>
        <w:t>The call shal</w:t>
      </w:r>
      <w:r>
        <w:rPr>
          <w:sz w:val="24"/>
          <w:szCs w:val="24"/>
        </w:rPr>
        <w:t>l include four weeks of vacation each year (initially prorated in the first year of employment based on the beginning of service).</w:t>
      </w:r>
    </w:p>
    <w:p w14:paraId="08A9DE43" w14:textId="77777777" w:rsidR="00271A3E" w:rsidRDefault="00271A3E">
      <w:pPr>
        <w:rPr>
          <w:sz w:val="24"/>
          <w:szCs w:val="24"/>
        </w:rPr>
      </w:pPr>
    </w:p>
    <w:p w14:paraId="77C05307" w14:textId="77777777" w:rsidR="00271A3E" w:rsidRDefault="00E84E44">
      <w:pPr>
        <w:rPr>
          <w:i/>
          <w:sz w:val="24"/>
          <w:szCs w:val="24"/>
        </w:rPr>
      </w:pPr>
      <w:r>
        <w:rPr>
          <w:sz w:val="24"/>
          <w:szCs w:val="24"/>
        </w:rPr>
        <w:tab/>
      </w:r>
      <w:r>
        <w:rPr>
          <w:i/>
          <w:sz w:val="24"/>
          <w:szCs w:val="24"/>
        </w:rPr>
        <w:t>Sick leave</w:t>
      </w:r>
    </w:p>
    <w:p w14:paraId="283E3792" w14:textId="77777777" w:rsidR="00271A3E" w:rsidRDefault="00E84E44">
      <w:pPr>
        <w:ind w:left="1440"/>
        <w:rPr>
          <w:sz w:val="24"/>
          <w:szCs w:val="24"/>
        </w:rPr>
      </w:pPr>
      <w:r>
        <w:rPr>
          <w:sz w:val="24"/>
          <w:szCs w:val="24"/>
        </w:rPr>
        <w:t>For his or her own care and that of others, the pastor is not expected to work when sick. Illness lasting more t</w:t>
      </w:r>
      <w:r>
        <w:rPr>
          <w:sz w:val="24"/>
          <w:szCs w:val="24"/>
        </w:rPr>
        <w:t>han a week shall be considered by the Personnel Committee, and any recommendations referred to the Session for information and/or action.</w:t>
      </w:r>
    </w:p>
    <w:p w14:paraId="75E6919C" w14:textId="77777777" w:rsidR="00271A3E" w:rsidRDefault="00271A3E">
      <w:pPr>
        <w:rPr>
          <w:sz w:val="24"/>
          <w:szCs w:val="24"/>
        </w:rPr>
      </w:pPr>
    </w:p>
    <w:p w14:paraId="296D0901" w14:textId="77777777" w:rsidR="00271A3E" w:rsidRDefault="00E84E44">
      <w:pPr>
        <w:rPr>
          <w:i/>
          <w:sz w:val="24"/>
          <w:szCs w:val="24"/>
        </w:rPr>
      </w:pPr>
      <w:r>
        <w:rPr>
          <w:sz w:val="24"/>
          <w:szCs w:val="24"/>
        </w:rPr>
        <w:tab/>
      </w:r>
      <w:r>
        <w:rPr>
          <w:i/>
          <w:sz w:val="24"/>
          <w:szCs w:val="24"/>
        </w:rPr>
        <w:t>Parental and Family Leave</w:t>
      </w:r>
    </w:p>
    <w:p w14:paraId="56FF449A" w14:textId="77777777" w:rsidR="00271A3E" w:rsidRDefault="00E84E44">
      <w:pPr>
        <w:pBdr>
          <w:top w:val="nil"/>
          <w:left w:val="nil"/>
          <w:bottom w:val="nil"/>
          <w:right w:val="nil"/>
          <w:between w:val="nil"/>
        </w:pBdr>
        <w:ind w:left="1440"/>
        <w:rPr>
          <w:color w:val="000000"/>
          <w:sz w:val="24"/>
          <w:szCs w:val="24"/>
        </w:rPr>
      </w:pPr>
      <w:r>
        <w:rPr>
          <w:color w:val="000000"/>
          <w:sz w:val="24"/>
          <w:szCs w:val="24"/>
        </w:rPr>
        <w:t xml:space="preserve">Guidance on parental and family leave can be found in the following policy on the Presbytery web site: Presbytery of </w:t>
      </w:r>
      <w:proofErr w:type="spellStart"/>
      <w:r>
        <w:rPr>
          <w:color w:val="000000"/>
          <w:sz w:val="24"/>
          <w:szCs w:val="24"/>
        </w:rPr>
        <w:t>Sheppards</w:t>
      </w:r>
      <w:proofErr w:type="spellEnd"/>
      <w:r>
        <w:rPr>
          <w:color w:val="000000"/>
          <w:sz w:val="24"/>
          <w:szCs w:val="24"/>
        </w:rPr>
        <w:t xml:space="preserve"> and Lapsley Parental and Family Leave Recommendations for Ministers of Word and Sacrament, Commissioned Ruling Elders, Certified </w:t>
      </w:r>
      <w:r>
        <w:rPr>
          <w:color w:val="000000"/>
          <w:sz w:val="24"/>
          <w:szCs w:val="24"/>
        </w:rPr>
        <w:t>Christian Educators.</w:t>
      </w:r>
    </w:p>
    <w:p w14:paraId="19F7AE9A" w14:textId="77777777" w:rsidR="00271A3E" w:rsidRDefault="00271A3E">
      <w:pPr>
        <w:pBdr>
          <w:top w:val="nil"/>
          <w:left w:val="nil"/>
          <w:bottom w:val="nil"/>
          <w:right w:val="nil"/>
          <w:between w:val="nil"/>
        </w:pBdr>
        <w:ind w:left="1440"/>
        <w:rPr>
          <w:color w:val="000000"/>
          <w:sz w:val="24"/>
          <w:szCs w:val="24"/>
        </w:rPr>
      </w:pPr>
    </w:p>
    <w:p w14:paraId="4DF1F793" w14:textId="77777777" w:rsidR="00271A3E" w:rsidRDefault="00E84E44">
      <w:pPr>
        <w:rPr>
          <w:i/>
          <w:sz w:val="24"/>
          <w:szCs w:val="24"/>
        </w:rPr>
      </w:pPr>
      <w:r>
        <w:rPr>
          <w:i/>
          <w:sz w:val="24"/>
          <w:szCs w:val="24"/>
        </w:rPr>
        <w:t>.</w:t>
      </w:r>
      <w:r>
        <w:rPr>
          <w:sz w:val="24"/>
          <w:szCs w:val="24"/>
        </w:rPr>
        <w:t xml:space="preserve"> </w:t>
      </w:r>
      <w:r>
        <w:rPr>
          <w:sz w:val="24"/>
          <w:szCs w:val="24"/>
        </w:rPr>
        <w:tab/>
      </w:r>
      <w:r>
        <w:rPr>
          <w:i/>
          <w:sz w:val="24"/>
          <w:szCs w:val="24"/>
        </w:rPr>
        <w:t>Sabbatical</w:t>
      </w:r>
    </w:p>
    <w:p w14:paraId="56B3B3FE" w14:textId="77777777" w:rsidR="00271A3E" w:rsidRDefault="00E84E44">
      <w:pPr>
        <w:ind w:left="1440"/>
        <w:rPr>
          <w:sz w:val="24"/>
          <w:szCs w:val="24"/>
        </w:rPr>
      </w:pPr>
      <w:r>
        <w:rPr>
          <w:sz w:val="24"/>
          <w:szCs w:val="24"/>
        </w:rPr>
        <w:t>A Sabbatical Leave of at least three months after six years of service to an individual church is recommended and must be considered as part of the pastor’s annual review of terms of call   Any congregation unable to imp</w:t>
      </w:r>
      <w:r>
        <w:rPr>
          <w:sz w:val="24"/>
          <w:szCs w:val="24"/>
        </w:rPr>
        <w:t>lement a Sabbatical Leave plan within the guidelines of the Presbytery policy shall provide a written rationale to the COM along with the present terms of call.</w:t>
      </w:r>
    </w:p>
    <w:p w14:paraId="470CFF33" w14:textId="77777777" w:rsidR="00271A3E" w:rsidRDefault="00271A3E">
      <w:pPr>
        <w:rPr>
          <w:sz w:val="24"/>
          <w:szCs w:val="24"/>
        </w:rPr>
      </w:pPr>
    </w:p>
    <w:p w14:paraId="58A71EE4" w14:textId="77777777" w:rsidR="00271A3E" w:rsidRDefault="00E84E44">
      <w:pPr>
        <w:rPr>
          <w:i/>
          <w:sz w:val="24"/>
          <w:szCs w:val="24"/>
        </w:rPr>
      </w:pPr>
      <w:r>
        <w:rPr>
          <w:sz w:val="24"/>
          <w:szCs w:val="24"/>
        </w:rPr>
        <w:tab/>
      </w:r>
      <w:r>
        <w:rPr>
          <w:i/>
          <w:sz w:val="24"/>
          <w:szCs w:val="24"/>
        </w:rPr>
        <w:t>Anti-racism Training</w:t>
      </w:r>
    </w:p>
    <w:p w14:paraId="1E590917" w14:textId="77777777" w:rsidR="00271A3E" w:rsidRDefault="00E84E44">
      <w:pPr>
        <w:ind w:left="1440"/>
        <w:rPr>
          <w:sz w:val="24"/>
          <w:szCs w:val="24"/>
          <w:u w:val="single"/>
        </w:rPr>
      </w:pPr>
      <w:r>
        <w:rPr>
          <w:sz w:val="24"/>
          <w:szCs w:val="24"/>
        </w:rPr>
        <w:t xml:space="preserve">All Ministers of the Word and Sacrament who are serving as pastors of a </w:t>
      </w:r>
      <w:r>
        <w:rPr>
          <w:sz w:val="24"/>
          <w:szCs w:val="24"/>
        </w:rPr>
        <w:t xml:space="preserve">congregation are required to participate in a training program organized by the Anti-racism Committee at least once every three years. Additional information may be found in the Presbytery of </w:t>
      </w:r>
      <w:proofErr w:type="spellStart"/>
      <w:r>
        <w:rPr>
          <w:sz w:val="24"/>
          <w:szCs w:val="24"/>
        </w:rPr>
        <w:t>Sheppards</w:t>
      </w:r>
      <w:proofErr w:type="spellEnd"/>
      <w:r>
        <w:rPr>
          <w:sz w:val="24"/>
          <w:szCs w:val="24"/>
        </w:rPr>
        <w:t xml:space="preserve"> and Lapsley Policy on Racism and Training Prepared by </w:t>
      </w:r>
      <w:r>
        <w:rPr>
          <w:sz w:val="24"/>
          <w:szCs w:val="24"/>
        </w:rPr>
        <w:t>the Anti-Racism Committee</w:t>
      </w:r>
      <w:r>
        <w:rPr>
          <w:sz w:val="24"/>
          <w:szCs w:val="24"/>
          <w:u w:val="single"/>
        </w:rPr>
        <w:t>.</w:t>
      </w:r>
    </w:p>
    <w:p w14:paraId="58BE7F49" w14:textId="77777777" w:rsidR="00271A3E" w:rsidRDefault="00E84E44">
      <w:pPr>
        <w:ind w:left="720" w:hanging="720"/>
        <w:rPr>
          <w:sz w:val="24"/>
          <w:szCs w:val="24"/>
          <w:u w:val="single"/>
        </w:rPr>
      </w:pPr>
      <w:r>
        <w:rPr>
          <w:sz w:val="24"/>
          <w:szCs w:val="24"/>
        </w:rPr>
        <w:tab/>
      </w:r>
      <w:r>
        <w:rPr>
          <w:sz w:val="24"/>
          <w:szCs w:val="24"/>
        </w:rPr>
        <w:tab/>
      </w:r>
    </w:p>
    <w:p w14:paraId="1F25FBBF" w14:textId="77777777" w:rsidR="00271A3E" w:rsidRDefault="00E84E44">
      <w:pPr>
        <w:ind w:left="720"/>
        <w:rPr>
          <w:i/>
          <w:sz w:val="24"/>
          <w:szCs w:val="24"/>
        </w:rPr>
      </w:pPr>
      <w:r>
        <w:rPr>
          <w:i/>
          <w:sz w:val="24"/>
          <w:szCs w:val="24"/>
        </w:rPr>
        <w:t>Healthy Boundaries Training</w:t>
      </w:r>
    </w:p>
    <w:p w14:paraId="0F379B44" w14:textId="77777777" w:rsidR="00271A3E" w:rsidRDefault="00E84E44">
      <w:pPr>
        <w:ind w:left="1440"/>
        <w:rPr>
          <w:sz w:val="24"/>
          <w:szCs w:val="24"/>
        </w:rPr>
      </w:pPr>
      <w:r>
        <w:rPr>
          <w:sz w:val="24"/>
          <w:szCs w:val="24"/>
        </w:rPr>
        <w:t xml:space="preserve">Healthy boundaries training is required every three years for all minister members of the presbytery. </w:t>
      </w:r>
    </w:p>
    <w:p w14:paraId="634C411D" w14:textId="77777777" w:rsidR="00271A3E" w:rsidRDefault="00E84E44">
      <w:pPr>
        <w:ind w:left="720"/>
        <w:rPr>
          <w:b/>
          <w:sz w:val="24"/>
          <w:szCs w:val="24"/>
        </w:rPr>
      </w:pPr>
      <w:r>
        <w:rPr>
          <w:sz w:val="24"/>
          <w:szCs w:val="24"/>
        </w:rPr>
        <w:tab/>
      </w:r>
      <w:r>
        <w:rPr>
          <w:sz w:val="24"/>
          <w:szCs w:val="24"/>
        </w:rPr>
        <w:tab/>
      </w:r>
    </w:p>
    <w:p w14:paraId="7F6AE553" w14:textId="77777777" w:rsidR="00271A3E" w:rsidRDefault="00E84E44">
      <w:pPr>
        <w:rPr>
          <w:b/>
          <w:sz w:val="24"/>
          <w:szCs w:val="24"/>
        </w:rPr>
      </w:pPr>
      <w:r>
        <w:rPr>
          <w:b/>
          <w:sz w:val="24"/>
          <w:szCs w:val="24"/>
        </w:rPr>
        <w:t>Other Concerns</w:t>
      </w:r>
    </w:p>
    <w:p w14:paraId="42ECA1A8" w14:textId="77777777" w:rsidR="00271A3E" w:rsidRDefault="00271A3E">
      <w:pPr>
        <w:rPr>
          <w:sz w:val="24"/>
          <w:szCs w:val="24"/>
        </w:rPr>
      </w:pPr>
    </w:p>
    <w:p w14:paraId="0B02714B" w14:textId="77777777" w:rsidR="00271A3E" w:rsidRDefault="00E84E44">
      <w:pPr>
        <w:ind w:firstLine="720"/>
        <w:rPr>
          <w:i/>
          <w:sz w:val="24"/>
          <w:szCs w:val="24"/>
        </w:rPr>
      </w:pPr>
      <w:r>
        <w:rPr>
          <w:i/>
          <w:sz w:val="24"/>
          <w:szCs w:val="24"/>
        </w:rPr>
        <w:t>Extra time away</w:t>
      </w:r>
    </w:p>
    <w:p w14:paraId="77C0F3C1" w14:textId="77777777" w:rsidR="00271A3E" w:rsidRDefault="00E84E44">
      <w:pPr>
        <w:ind w:left="1440"/>
        <w:rPr>
          <w:sz w:val="24"/>
          <w:szCs w:val="24"/>
        </w:rPr>
      </w:pPr>
      <w:r>
        <w:rPr>
          <w:sz w:val="24"/>
          <w:szCs w:val="24"/>
        </w:rPr>
        <w:t>Pastor’s time away beyond vacation and study leave is to be determined by agreement between the session and the minister.</w:t>
      </w:r>
    </w:p>
    <w:p w14:paraId="40542514" w14:textId="77777777" w:rsidR="00271A3E" w:rsidRDefault="00271A3E">
      <w:pPr>
        <w:rPr>
          <w:sz w:val="24"/>
          <w:szCs w:val="24"/>
        </w:rPr>
      </w:pPr>
    </w:p>
    <w:p w14:paraId="771F54BE" w14:textId="77777777" w:rsidR="00271A3E" w:rsidRDefault="00E84E44">
      <w:pPr>
        <w:ind w:firstLine="720"/>
        <w:rPr>
          <w:i/>
          <w:sz w:val="24"/>
          <w:szCs w:val="24"/>
        </w:rPr>
      </w:pPr>
      <w:r>
        <w:rPr>
          <w:i/>
          <w:sz w:val="24"/>
          <w:szCs w:val="24"/>
        </w:rPr>
        <w:t>Presbytery participation and relationship</w:t>
      </w:r>
    </w:p>
    <w:p w14:paraId="0802ED1F" w14:textId="77777777" w:rsidR="00271A3E" w:rsidRDefault="00E84E44">
      <w:pPr>
        <w:ind w:left="1440"/>
        <w:rPr>
          <w:sz w:val="24"/>
          <w:szCs w:val="24"/>
        </w:rPr>
      </w:pPr>
      <w:r>
        <w:rPr>
          <w:sz w:val="24"/>
          <w:szCs w:val="24"/>
        </w:rPr>
        <w:t xml:space="preserve">Pastors are presbyters, and vow to “be active in government and discipline, serving in the </w:t>
      </w:r>
      <w:r>
        <w:rPr>
          <w:sz w:val="24"/>
          <w:szCs w:val="24"/>
        </w:rPr>
        <w:t>councils of the church,” to “be a friend among … colleagues in ministry, working with them, subject to the ordering of God’s Word and Spirit.”  (BO W-4.003i, W-4.003e)</w:t>
      </w:r>
    </w:p>
    <w:p w14:paraId="734F678B" w14:textId="77777777" w:rsidR="00271A3E" w:rsidRDefault="00271A3E">
      <w:pPr>
        <w:rPr>
          <w:sz w:val="24"/>
          <w:szCs w:val="24"/>
        </w:rPr>
      </w:pPr>
    </w:p>
    <w:p w14:paraId="484442EC" w14:textId="77777777" w:rsidR="00271A3E" w:rsidRDefault="00E84E44">
      <w:pPr>
        <w:ind w:firstLine="720"/>
        <w:rPr>
          <w:i/>
          <w:sz w:val="24"/>
          <w:szCs w:val="24"/>
        </w:rPr>
      </w:pPr>
      <w:r>
        <w:rPr>
          <w:i/>
          <w:sz w:val="24"/>
          <w:szCs w:val="24"/>
        </w:rPr>
        <w:t>Part Time Pastors</w:t>
      </w:r>
    </w:p>
    <w:p w14:paraId="7DC82249" w14:textId="77777777" w:rsidR="00271A3E" w:rsidRDefault="00E84E44">
      <w:pPr>
        <w:ind w:left="1440"/>
        <w:rPr>
          <w:sz w:val="24"/>
          <w:szCs w:val="24"/>
        </w:rPr>
      </w:pPr>
      <w:r>
        <w:rPr>
          <w:sz w:val="24"/>
          <w:szCs w:val="24"/>
        </w:rPr>
        <w:t>The salary of part time pastors working at least 20 hours per week is prorated accordingly.  Vacation and study leave remain the same as for full time pastors.  For Board of Pension dues for a part time installed pastor, consult the presbytery Stated Clerk</w:t>
      </w:r>
      <w:r>
        <w:rPr>
          <w:sz w:val="24"/>
          <w:szCs w:val="24"/>
        </w:rPr>
        <w:t>.</w:t>
      </w:r>
    </w:p>
    <w:p w14:paraId="01D84076" w14:textId="77777777" w:rsidR="00271A3E" w:rsidRDefault="00271A3E">
      <w:pPr>
        <w:rPr>
          <w:sz w:val="24"/>
          <w:szCs w:val="24"/>
        </w:rPr>
      </w:pPr>
    </w:p>
    <w:p w14:paraId="602D9EBF" w14:textId="77777777" w:rsidR="00271A3E" w:rsidRDefault="00271A3E">
      <w:pPr>
        <w:rPr>
          <w:sz w:val="24"/>
          <w:szCs w:val="24"/>
        </w:rPr>
      </w:pPr>
    </w:p>
    <w:p w14:paraId="512FE1DA" w14:textId="77777777" w:rsidR="00271A3E" w:rsidRDefault="00271A3E">
      <w:pPr>
        <w:rPr>
          <w:sz w:val="24"/>
          <w:szCs w:val="24"/>
        </w:rPr>
      </w:pPr>
    </w:p>
    <w:p w14:paraId="34F83838" w14:textId="77777777" w:rsidR="00271A3E" w:rsidRDefault="00271A3E">
      <w:pPr>
        <w:rPr>
          <w:sz w:val="24"/>
          <w:szCs w:val="24"/>
        </w:rPr>
      </w:pPr>
    </w:p>
    <w:p w14:paraId="319195E2" w14:textId="77777777" w:rsidR="00271A3E" w:rsidRDefault="00E84E44">
      <w:pPr>
        <w:rPr>
          <w:b/>
          <w:sz w:val="24"/>
          <w:szCs w:val="24"/>
        </w:rPr>
      </w:pPr>
      <w:r>
        <w:rPr>
          <w:b/>
          <w:sz w:val="24"/>
          <w:szCs w:val="24"/>
        </w:rPr>
        <w:lastRenderedPageBreak/>
        <w:t>Temporary Pastors and Pulpit Supply Recommendations</w:t>
      </w:r>
    </w:p>
    <w:p w14:paraId="392FDB44" w14:textId="77777777" w:rsidR="00271A3E" w:rsidRDefault="00271A3E">
      <w:pPr>
        <w:ind w:firstLine="720"/>
        <w:rPr>
          <w:sz w:val="24"/>
          <w:szCs w:val="24"/>
        </w:rPr>
      </w:pPr>
    </w:p>
    <w:p w14:paraId="7BFB8336" w14:textId="77777777" w:rsidR="00271A3E" w:rsidRDefault="00E84E44">
      <w:pPr>
        <w:ind w:firstLine="720"/>
        <w:rPr>
          <w:i/>
          <w:sz w:val="24"/>
          <w:szCs w:val="24"/>
        </w:rPr>
      </w:pPr>
      <w:r>
        <w:rPr>
          <w:i/>
          <w:sz w:val="24"/>
          <w:szCs w:val="24"/>
        </w:rPr>
        <w:t>Temporary Pastors</w:t>
      </w:r>
    </w:p>
    <w:p w14:paraId="7AE5A1B4" w14:textId="77777777" w:rsidR="00271A3E" w:rsidRDefault="00E84E44">
      <w:pPr>
        <w:ind w:left="1440"/>
        <w:rPr>
          <w:sz w:val="24"/>
          <w:szCs w:val="24"/>
        </w:rPr>
      </w:pPr>
      <w:r>
        <w:rPr>
          <w:sz w:val="24"/>
          <w:szCs w:val="24"/>
        </w:rPr>
        <w:t xml:space="preserve">Temporary pastors working less than 20 hours per week are not covered by the Board of </w:t>
      </w:r>
      <w:proofErr w:type="gramStart"/>
      <w:r>
        <w:rPr>
          <w:sz w:val="24"/>
          <w:szCs w:val="24"/>
        </w:rPr>
        <w:t>Pensions, and</w:t>
      </w:r>
      <w:proofErr w:type="gramEnd"/>
      <w:r>
        <w:rPr>
          <w:sz w:val="24"/>
          <w:szCs w:val="24"/>
        </w:rPr>
        <w:t xml:space="preserve"> are paid in accordance with hours worked.  Those working at least 20 hours per </w:t>
      </w:r>
      <w:r>
        <w:rPr>
          <w:sz w:val="24"/>
          <w:szCs w:val="24"/>
        </w:rPr>
        <w:t>week may be provided benefits through the Board of Pensions.</w:t>
      </w:r>
    </w:p>
    <w:p w14:paraId="56797698" w14:textId="77777777" w:rsidR="00271A3E" w:rsidRDefault="00271A3E">
      <w:pPr>
        <w:rPr>
          <w:sz w:val="24"/>
          <w:szCs w:val="24"/>
        </w:rPr>
      </w:pPr>
    </w:p>
    <w:p w14:paraId="0CC776F8" w14:textId="77777777" w:rsidR="00271A3E" w:rsidRDefault="00E84E44">
      <w:pPr>
        <w:ind w:firstLine="720"/>
        <w:rPr>
          <w:i/>
          <w:sz w:val="24"/>
          <w:szCs w:val="24"/>
        </w:rPr>
      </w:pPr>
      <w:r>
        <w:rPr>
          <w:i/>
          <w:sz w:val="24"/>
          <w:szCs w:val="24"/>
        </w:rPr>
        <w:t>Pulpit Supply</w:t>
      </w:r>
    </w:p>
    <w:p w14:paraId="5B2BC216" w14:textId="77777777" w:rsidR="00271A3E" w:rsidRDefault="00E84E44">
      <w:pPr>
        <w:ind w:left="1440"/>
        <w:rPr>
          <w:sz w:val="24"/>
          <w:szCs w:val="24"/>
        </w:rPr>
      </w:pPr>
      <w:r>
        <w:rPr>
          <w:sz w:val="24"/>
          <w:szCs w:val="24"/>
        </w:rPr>
        <w:t>Persons serving in a pulpit supply relationship are paid an honorarium of at least $150 per Sunday plus mileage at the current IRS rate.  A Presbytery appointed Session Moderator s</w:t>
      </w:r>
      <w:r>
        <w:rPr>
          <w:sz w:val="24"/>
          <w:szCs w:val="24"/>
        </w:rPr>
        <w:t>hould be paid $50 per stated meeting.  Mileage at the current IRS rate should also be paid if the Moderator travels to the location for Session meeting only.</w:t>
      </w:r>
    </w:p>
    <w:p w14:paraId="38C1B676" w14:textId="77777777" w:rsidR="00271A3E" w:rsidRDefault="00271A3E">
      <w:pPr>
        <w:rPr>
          <w:b/>
          <w:sz w:val="24"/>
          <w:szCs w:val="24"/>
        </w:rPr>
      </w:pPr>
    </w:p>
    <w:p w14:paraId="7A8198FE" w14:textId="77777777" w:rsidR="00271A3E" w:rsidRDefault="00E84E44">
      <w:pPr>
        <w:rPr>
          <w:b/>
          <w:sz w:val="24"/>
          <w:szCs w:val="24"/>
        </w:rPr>
      </w:pPr>
      <w:r>
        <w:rPr>
          <w:b/>
          <w:sz w:val="24"/>
          <w:szCs w:val="24"/>
        </w:rPr>
        <w:t>Termination</w:t>
      </w:r>
    </w:p>
    <w:p w14:paraId="58D73717" w14:textId="77777777" w:rsidR="00271A3E" w:rsidRDefault="00271A3E">
      <w:pPr>
        <w:rPr>
          <w:b/>
          <w:sz w:val="24"/>
          <w:szCs w:val="24"/>
        </w:rPr>
      </w:pPr>
    </w:p>
    <w:p w14:paraId="53696012" w14:textId="77777777" w:rsidR="00271A3E" w:rsidRDefault="00E84E44">
      <w:pPr>
        <w:ind w:firstLine="720"/>
        <w:rPr>
          <w:i/>
          <w:sz w:val="24"/>
          <w:szCs w:val="24"/>
        </w:rPr>
      </w:pPr>
      <w:r>
        <w:rPr>
          <w:i/>
          <w:sz w:val="24"/>
          <w:szCs w:val="24"/>
        </w:rPr>
        <w:t>Procedure</w:t>
      </w:r>
    </w:p>
    <w:p w14:paraId="0C976FE7" w14:textId="77777777" w:rsidR="00271A3E" w:rsidRDefault="00E84E44">
      <w:pPr>
        <w:ind w:left="1440"/>
        <w:rPr>
          <w:sz w:val="24"/>
          <w:szCs w:val="24"/>
        </w:rPr>
      </w:pPr>
      <w:r>
        <w:rPr>
          <w:sz w:val="24"/>
          <w:szCs w:val="24"/>
        </w:rPr>
        <w:t>“An installed pastoral relationship may be dissolved only by the presbyter</w:t>
      </w:r>
      <w:r>
        <w:rPr>
          <w:sz w:val="24"/>
          <w:szCs w:val="24"/>
        </w:rPr>
        <w:t xml:space="preserve">y.  Whether the teaching elder, the congregation, or the presbytery initiates the proceedings for dissolution of the relationship, there shall always be a meeting of the congregation to consider the matter and to </w:t>
      </w:r>
      <w:proofErr w:type="gramStart"/>
      <w:r>
        <w:rPr>
          <w:sz w:val="24"/>
          <w:szCs w:val="24"/>
        </w:rPr>
        <w:t>consent, or</w:t>
      </w:r>
      <w:proofErr w:type="gramEnd"/>
      <w:r>
        <w:rPr>
          <w:sz w:val="24"/>
          <w:szCs w:val="24"/>
        </w:rPr>
        <w:t xml:space="preserve"> decline to consent to dissoluti</w:t>
      </w:r>
      <w:r>
        <w:rPr>
          <w:sz w:val="24"/>
          <w:szCs w:val="24"/>
        </w:rPr>
        <w:t>on.” (BO G-2.09)</w:t>
      </w:r>
    </w:p>
    <w:p w14:paraId="28ACB0D5" w14:textId="77777777" w:rsidR="00271A3E" w:rsidRDefault="00271A3E">
      <w:pPr>
        <w:rPr>
          <w:sz w:val="24"/>
          <w:szCs w:val="24"/>
        </w:rPr>
      </w:pPr>
    </w:p>
    <w:p w14:paraId="0408B2E6" w14:textId="77777777" w:rsidR="00271A3E" w:rsidRDefault="00E84E44">
      <w:pPr>
        <w:ind w:firstLine="720"/>
        <w:rPr>
          <w:i/>
          <w:sz w:val="24"/>
          <w:szCs w:val="24"/>
        </w:rPr>
      </w:pPr>
      <w:r>
        <w:rPr>
          <w:i/>
          <w:sz w:val="24"/>
          <w:szCs w:val="24"/>
        </w:rPr>
        <w:t>Severance provisions</w:t>
      </w:r>
    </w:p>
    <w:p w14:paraId="5CC3DB06" w14:textId="77777777" w:rsidR="00271A3E" w:rsidRDefault="00E84E44">
      <w:pPr>
        <w:ind w:left="1440"/>
        <w:rPr>
          <w:sz w:val="24"/>
          <w:szCs w:val="24"/>
        </w:rPr>
      </w:pPr>
      <w:r>
        <w:rPr>
          <w:sz w:val="24"/>
          <w:szCs w:val="24"/>
        </w:rPr>
        <w:t xml:space="preserve">When the congregation initiates the termination, the pastor, congregation and Presbytery will negotiate a severance agreement consisting of three to six months continuation of the terms of </w:t>
      </w:r>
      <w:proofErr w:type="gramStart"/>
      <w:r>
        <w:rPr>
          <w:sz w:val="24"/>
          <w:szCs w:val="24"/>
        </w:rPr>
        <w:t>call in</w:t>
      </w:r>
      <w:proofErr w:type="gramEnd"/>
      <w:r>
        <w:rPr>
          <w:sz w:val="24"/>
          <w:szCs w:val="24"/>
        </w:rPr>
        <w:t xml:space="preserve"> effect at the time o</w:t>
      </w:r>
      <w:r>
        <w:rPr>
          <w:sz w:val="24"/>
          <w:szCs w:val="24"/>
        </w:rPr>
        <w:t>f dissolution of the pastoral relationship. If the pastor begins a new call the severance pay may cease.</w:t>
      </w:r>
    </w:p>
    <w:p w14:paraId="60B65B3B" w14:textId="77777777" w:rsidR="00271A3E" w:rsidRDefault="00271A3E">
      <w:pPr>
        <w:rPr>
          <w:b/>
          <w:sz w:val="24"/>
          <w:szCs w:val="24"/>
        </w:rPr>
      </w:pPr>
    </w:p>
    <w:p w14:paraId="4ED6CF68" w14:textId="77777777" w:rsidR="00271A3E" w:rsidRDefault="00E84E44">
      <w:pPr>
        <w:rPr>
          <w:b/>
          <w:sz w:val="24"/>
          <w:szCs w:val="24"/>
        </w:rPr>
      </w:pPr>
      <w:r>
        <w:rPr>
          <w:b/>
          <w:sz w:val="24"/>
          <w:szCs w:val="24"/>
        </w:rPr>
        <w:t xml:space="preserve">PCUSA Resources </w:t>
      </w:r>
    </w:p>
    <w:p w14:paraId="21DFB4FB" w14:textId="77777777" w:rsidR="00271A3E" w:rsidRDefault="00E84E44">
      <w:pPr>
        <w:ind w:left="720"/>
        <w:rPr>
          <w:sz w:val="24"/>
          <w:szCs w:val="24"/>
        </w:rPr>
      </w:pPr>
      <w:r>
        <w:rPr>
          <w:sz w:val="24"/>
          <w:szCs w:val="24"/>
        </w:rPr>
        <w:t xml:space="preserve">The Board of Pensions provides the following resources at </w:t>
      </w:r>
      <w:proofErr w:type="gramStart"/>
      <w:r>
        <w:rPr>
          <w:sz w:val="24"/>
          <w:szCs w:val="24"/>
        </w:rPr>
        <w:t>pensions.org</w:t>
      </w:r>
      <w:proofErr w:type="gramEnd"/>
    </w:p>
    <w:p w14:paraId="1E2EBFC0" w14:textId="77777777" w:rsidR="00271A3E" w:rsidRDefault="00E84E44">
      <w:pPr>
        <w:numPr>
          <w:ilvl w:val="0"/>
          <w:numId w:val="1"/>
        </w:numPr>
        <w:pBdr>
          <w:top w:val="nil"/>
          <w:left w:val="nil"/>
          <w:bottom w:val="nil"/>
          <w:right w:val="nil"/>
          <w:between w:val="nil"/>
        </w:pBdr>
        <w:rPr>
          <w:sz w:val="24"/>
          <w:szCs w:val="24"/>
        </w:rPr>
      </w:pPr>
      <w:r>
        <w:rPr>
          <w:color w:val="000000"/>
          <w:sz w:val="24"/>
          <w:szCs w:val="24"/>
        </w:rPr>
        <w:t xml:space="preserve">Understanding Effective Salary </w:t>
      </w:r>
    </w:p>
    <w:p w14:paraId="027EF5EE" w14:textId="77777777" w:rsidR="00271A3E" w:rsidRDefault="00E84E44">
      <w:pPr>
        <w:numPr>
          <w:ilvl w:val="0"/>
          <w:numId w:val="1"/>
        </w:numPr>
        <w:pBdr>
          <w:top w:val="nil"/>
          <w:left w:val="nil"/>
          <w:bottom w:val="nil"/>
          <w:right w:val="nil"/>
          <w:between w:val="nil"/>
        </w:pBdr>
        <w:rPr>
          <w:sz w:val="24"/>
          <w:szCs w:val="24"/>
        </w:rPr>
      </w:pPr>
      <w:r>
        <w:rPr>
          <w:color w:val="000000"/>
          <w:sz w:val="24"/>
          <w:szCs w:val="24"/>
        </w:rPr>
        <w:t>Calculators for Effective Salary and Dues</w:t>
      </w:r>
    </w:p>
    <w:p w14:paraId="5BAD6262" w14:textId="77777777" w:rsidR="00271A3E" w:rsidRDefault="00E84E44">
      <w:pPr>
        <w:rPr>
          <w:sz w:val="24"/>
          <w:szCs w:val="24"/>
        </w:rPr>
      </w:pPr>
      <w:r>
        <w:br w:type="page"/>
      </w:r>
    </w:p>
    <w:p w14:paraId="25A428EA" w14:textId="77777777" w:rsidR="00271A3E" w:rsidRDefault="00E84E44">
      <w:pPr>
        <w:rPr>
          <w:sz w:val="24"/>
          <w:szCs w:val="24"/>
        </w:rPr>
      </w:pPr>
      <w:r>
        <w:rPr>
          <w:noProof/>
          <w:sz w:val="24"/>
          <w:szCs w:val="24"/>
        </w:rPr>
        <w:lastRenderedPageBreak/>
        <w:drawing>
          <wp:inline distT="0" distB="0" distL="0" distR="0" wp14:anchorId="094EBABE" wp14:editId="2C5EB356">
            <wp:extent cx="5429250" cy="8172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29250" cy="8172450"/>
                    </a:xfrm>
                    <a:prstGeom prst="rect">
                      <a:avLst/>
                    </a:prstGeom>
                    <a:ln/>
                  </pic:spPr>
                </pic:pic>
              </a:graphicData>
            </a:graphic>
          </wp:inline>
        </w:drawing>
      </w:r>
    </w:p>
    <w:p w14:paraId="25C26549" w14:textId="77777777" w:rsidR="00271A3E" w:rsidRDefault="00E84E44">
      <w:pPr>
        <w:spacing w:before="60"/>
        <w:ind w:left="13"/>
        <w:jc w:val="both"/>
        <w:rPr>
          <w:sz w:val="24"/>
          <w:szCs w:val="24"/>
        </w:rPr>
      </w:pPr>
      <w:r>
        <w:rPr>
          <w:sz w:val="24"/>
          <w:szCs w:val="24"/>
        </w:rPr>
        <w:lastRenderedPageBreak/>
        <w:t>EFFECTIVE SALARY WORKSHEET</w:t>
      </w:r>
    </w:p>
    <w:p w14:paraId="2DB477EA" w14:textId="77777777" w:rsidR="00271A3E" w:rsidRDefault="00E84E44">
      <w:pPr>
        <w:spacing w:before="5" w:line="268" w:lineRule="auto"/>
        <w:ind w:left="10" w:right="117"/>
        <w:jc w:val="both"/>
        <w:rPr>
          <w:sz w:val="24"/>
          <w:szCs w:val="24"/>
        </w:rPr>
      </w:pPr>
      <w:r>
        <w:rPr>
          <w:sz w:val="24"/>
          <w:szCs w:val="24"/>
        </w:rPr>
        <w:t>This worksheet is a guide to determining effective salary for Benefits Plan purposes. It may be helpful in submitting salary changes through Benefits Connect. The worksheet is for eff</w:t>
      </w:r>
      <w:r>
        <w:rPr>
          <w:sz w:val="24"/>
          <w:szCs w:val="24"/>
        </w:rPr>
        <w:t>ective salary only and is not intended to provide Social Security or income tax advice. For income tax information, please refer to Internal Revenue Service publications or seek the advice of a competent tax adviser.</w:t>
      </w:r>
    </w:p>
    <w:p w14:paraId="7F69100A" w14:textId="77777777" w:rsidR="00271A3E" w:rsidRDefault="00271A3E">
      <w:pPr>
        <w:spacing w:before="4"/>
        <w:rPr>
          <w:sz w:val="24"/>
          <w:szCs w:val="24"/>
        </w:rPr>
      </w:pPr>
    </w:p>
    <w:p w14:paraId="7C994D22" w14:textId="77777777" w:rsidR="00271A3E" w:rsidRDefault="00E84E44">
      <w:pPr>
        <w:ind w:left="10"/>
        <w:jc w:val="both"/>
        <w:rPr>
          <w:sz w:val="24"/>
          <w:szCs w:val="24"/>
        </w:rPr>
      </w:pPr>
      <w:r>
        <w:rPr>
          <w:sz w:val="24"/>
          <w:szCs w:val="24"/>
        </w:rPr>
        <w:t xml:space="preserve">Compensation included in Effective </w:t>
      </w:r>
      <w:proofErr w:type="gramStart"/>
      <w:r>
        <w:rPr>
          <w:sz w:val="24"/>
          <w:szCs w:val="24"/>
        </w:rPr>
        <w:t>Sal</w:t>
      </w:r>
      <w:r>
        <w:rPr>
          <w:sz w:val="24"/>
          <w:szCs w:val="24"/>
        </w:rPr>
        <w:t>ary</w:t>
      </w:r>
      <w:proofErr w:type="gramEnd"/>
    </w:p>
    <w:p w14:paraId="20311B26" w14:textId="77777777" w:rsidR="00271A3E" w:rsidRDefault="00271A3E">
      <w:pPr>
        <w:spacing w:before="15"/>
        <w:jc w:val="both"/>
        <w:rPr>
          <w:sz w:val="24"/>
          <w:szCs w:val="24"/>
        </w:rPr>
      </w:pPr>
    </w:p>
    <w:p w14:paraId="16EB35C8" w14:textId="77777777" w:rsidR="00271A3E" w:rsidRDefault="00271A3E">
      <w:pPr>
        <w:spacing w:before="2"/>
        <w:rPr>
          <w:sz w:val="24"/>
          <w:szCs w:val="24"/>
        </w:rPr>
      </w:pPr>
    </w:p>
    <w:tbl>
      <w:tblPr>
        <w:tblStyle w:val="a"/>
        <w:tblW w:w="10069" w:type="dxa"/>
        <w:tblInd w:w="100" w:type="dxa"/>
        <w:tblLayout w:type="fixed"/>
        <w:tblLook w:val="0000" w:firstRow="0" w:lastRow="0" w:firstColumn="0" w:lastColumn="0" w:noHBand="0" w:noVBand="0"/>
      </w:tblPr>
      <w:tblGrid>
        <w:gridCol w:w="431"/>
        <w:gridCol w:w="1908"/>
        <w:gridCol w:w="7730"/>
      </w:tblGrid>
      <w:tr w:rsidR="00271A3E" w14:paraId="69F3C8DC" w14:textId="77777777">
        <w:trPr>
          <w:trHeight w:val="997"/>
        </w:trPr>
        <w:tc>
          <w:tcPr>
            <w:tcW w:w="431" w:type="dxa"/>
            <w:tcBorders>
              <w:top w:val="single" w:sz="4" w:space="0" w:color="004B8D"/>
              <w:left w:val="single" w:sz="4" w:space="0" w:color="004B8D"/>
              <w:bottom w:val="single" w:sz="4" w:space="0" w:color="004B8D"/>
              <w:right w:val="single" w:sz="4" w:space="0" w:color="004B8D"/>
            </w:tcBorders>
          </w:tcPr>
          <w:p w14:paraId="587AFD3E" w14:textId="77777777" w:rsidR="00271A3E" w:rsidRDefault="00E84E44">
            <w:pPr>
              <w:spacing w:before="83"/>
              <w:ind w:left="100"/>
              <w:rPr>
                <w:b/>
                <w:sz w:val="24"/>
                <w:szCs w:val="24"/>
              </w:rPr>
            </w:pPr>
            <w:r>
              <w:rPr>
                <w:b/>
                <w:sz w:val="24"/>
                <w:szCs w:val="24"/>
              </w:rPr>
              <w:t>1.</w:t>
            </w:r>
          </w:p>
        </w:tc>
        <w:tc>
          <w:tcPr>
            <w:tcW w:w="1908" w:type="dxa"/>
            <w:tcBorders>
              <w:top w:val="single" w:sz="4" w:space="0" w:color="004B8D"/>
              <w:left w:val="single" w:sz="4" w:space="0" w:color="004B8D"/>
              <w:bottom w:val="single" w:sz="4" w:space="0" w:color="004B8D"/>
              <w:right w:val="single" w:sz="4" w:space="0" w:color="004B8D"/>
            </w:tcBorders>
          </w:tcPr>
          <w:p w14:paraId="01520739" w14:textId="77777777" w:rsidR="00271A3E" w:rsidRDefault="00E84E44">
            <w:pPr>
              <w:spacing w:before="80"/>
              <w:ind w:left="100"/>
              <w:rPr>
                <w:sz w:val="24"/>
                <w:szCs w:val="24"/>
              </w:rPr>
            </w:pPr>
            <w:r>
              <w:rPr>
                <w:sz w:val="24"/>
                <w:szCs w:val="24"/>
              </w:rPr>
              <w:t>$</w:t>
            </w:r>
          </w:p>
        </w:tc>
        <w:tc>
          <w:tcPr>
            <w:tcW w:w="7730" w:type="dxa"/>
            <w:tcBorders>
              <w:top w:val="single" w:sz="4" w:space="0" w:color="004B8D"/>
              <w:left w:val="single" w:sz="4" w:space="0" w:color="004B8D"/>
              <w:bottom w:val="single" w:sz="4" w:space="0" w:color="004B8D"/>
              <w:right w:val="single" w:sz="4" w:space="0" w:color="004B8D"/>
            </w:tcBorders>
          </w:tcPr>
          <w:p w14:paraId="42EBC510" w14:textId="77777777" w:rsidR="00271A3E" w:rsidRDefault="00E84E44">
            <w:pPr>
              <w:spacing w:before="86" w:line="232" w:lineRule="auto"/>
              <w:ind w:left="101"/>
              <w:rPr>
                <w:sz w:val="24"/>
                <w:szCs w:val="24"/>
              </w:rPr>
            </w:pPr>
            <w:r>
              <w:rPr>
                <w:sz w:val="24"/>
                <w:szCs w:val="24"/>
              </w:rPr>
              <w:t>Annual gross cash salary, not excluding employee contributions to 403(b)(9) plans, tax-sheltered annuity plans, and salary reduction contributions to FSAs, HRAs, and cafeteria plans.</w:t>
            </w:r>
          </w:p>
        </w:tc>
      </w:tr>
      <w:tr w:rsidR="00271A3E" w14:paraId="10F948B0" w14:textId="77777777">
        <w:trPr>
          <w:trHeight w:val="998"/>
        </w:trPr>
        <w:tc>
          <w:tcPr>
            <w:tcW w:w="431" w:type="dxa"/>
            <w:tcBorders>
              <w:top w:val="single" w:sz="4" w:space="0" w:color="004B8D"/>
              <w:left w:val="single" w:sz="4" w:space="0" w:color="004B8D"/>
              <w:bottom w:val="single" w:sz="4" w:space="0" w:color="004B8D"/>
              <w:right w:val="single" w:sz="4" w:space="0" w:color="004B8D"/>
            </w:tcBorders>
          </w:tcPr>
          <w:p w14:paraId="486D8141" w14:textId="77777777" w:rsidR="00271A3E" w:rsidRDefault="00E84E44">
            <w:pPr>
              <w:spacing w:before="83"/>
              <w:ind w:left="100"/>
              <w:rPr>
                <w:b/>
                <w:sz w:val="24"/>
                <w:szCs w:val="24"/>
              </w:rPr>
            </w:pPr>
            <w:r>
              <w:rPr>
                <w:b/>
                <w:sz w:val="24"/>
                <w:szCs w:val="24"/>
              </w:rPr>
              <w:t>2.</w:t>
            </w:r>
          </w:p>
        </w:tc>
        <w:tc>
          <w:tcPr>
            <w:tcW w:w="1908" w:type="dxa"/>
            <w:tcBorders>
              <w:top w:val="single" w:sz="4" w:space="0" w:color="004B8D"/>
              <w:left w:val="single" w:sz="4" w:space="0" w:color="004B8D"/>
              <w:bottom w:val="single" w:sz="4" w:space="0" w:color="004B8D"/>
              <w:right w:val="single" w:sz="4" w:space="0" w:color="004B8D"/>
            </w:tcBorders>
          </w:tcPr>
          <w:p w14:paraId="2C047295" w14:textId="77777777" w:rsidR="00271A3E" w:rsidRDefault="00E84E44">
            <w:pPr>
              <w:spacing w:before="80"/>
              <w:ind w:left="100"/>
              <w:rPr>
                <w:sz w:val="24"/>
                <w:szCs w:val="24"/>
              </w:rPr>
            </w:pPr>
            <w:r>
              <w:rPr>
                <w:sz w:val="24"/>
                <w:szCs w:val="24"/>
              </w:rPr>
              <w:t>$</w:t>
            </w:r>
          </w:p>
        </w:tc>
        <w:tc>
          <w:tcPr>
            <w:tcW w:w="7730" w:type="dxa"/>
            <w:tcBorders>
              <w:top w:val="single" w:sz="4" w:space="0" w:color="004B8D"/>
              <w:left w:val="single" w:sz="4" w:space="0" w:color="004B8D"/>
              <w:bottom w:val="single" w:sz="4" w:space="0" w:color="004B8D"/>
              <w:right w:val="single" w:sz="4" w:space="0" w:color="004B8D"/>
            </w:tcBorders>
          </w:tcPr>
          <w:p w14:paraId="41AC7B0C" w14:textId="77777777" w:rsidR="00271A3E" w:rsidRDefault="00E84E44">
            <w:pPr>
              <w:spacing w:before="80"/>
              <w:ind w:left="101"/>
              <w:rPr>
                <w:sz w:val="24"/>
                <w:szCs w:val="24"/>
              </w:rPr>
            </w:pPr>
            <w:r>
              <w:rPr>
                <w:sz w:val="24"/>
                <w:szCs w:val="24"/>
              </w:rPr>
              <w:t>Housing, utility, and furnishings allowances.</w:t>
            </w:r>
          </w:p>
        </w:tc>
      </w:tr>
      <w:tr w:rsidR="00271A3E" w14:paraId="021DE3B7" w14:textId="77777777">
        <w:trPr>
          <w:trHeight w:val="998"/>
        </w:trPr>
        <w:tc>
          <w:tcPr>
            <w:tcW w:w="431" w:type="dxa"/>
            <w:tcBorders>
              <w:top w:val="single" w:sz="4" w:space="0" w:color="004B8D"/>
              <w:left w:val="single" w:sz="4" w:space="0" w:color="004B8D"/>
              <w:bottom w:val="single" w:sz="4" w:space="0" w:color="004B8D"/>
              <w:right w:val="single" w:sz="4" w:space="0" w:color="004B8D"/>
            </w:tcBorders>
          </w:tcPr>
          <w:p w14:paraId="46664CCC" w14:textId="77777777" w:rsidR="00271A3E" w:rsidRDefault="00E84E44">
            <w:pPr>
              <w:spacing w:before="83"/>
              <w:ind w:left="100"/>
              <w:rPr>
                <w:b/>
                <w:sz w:val="24"/>
                <w:szCs w:val="24"/>
              </w:rPr>
            </w:pPr>
            <w:r>
              <w:rPr>
                <w:b/>
                <w:sz w:val="24"/>
                <w:szCs w:val="24"/>
              </w:rPr>
              <w:t>3.</w:t>
            </w:r>
          </w:p>
        </w:tc>
        <w:tc>
          <w:tcPr>
            <w:tcW w:w="1908" w:type="dxa"/>
            <w:tcBorders>
              <w:top w:val="single" w:sz="4" w:space="0" w:color="004B8D"/>
              <w:left w:val="single" w:sz="4" w:space="0" w:color="004B8D"/>
              <w:bottom w:val="single" w:sz="4" w:space="0" w:color="004B8D"/>
              <w:right w:val="single" w:sz="4" w:space="0" w:color="004B8D"/>
            </w:tcBorders>
          </w:tcPr>
          <w:p w14:paraId="5D9D052D" w14:textId="77777777" w:rsidR="00271A3E" w:rsidRDefault="00E84E44">
            <w:pPr>
              <w:spacing w:before="80"/>
              <w:ind w:left="100"/>
              <w:rPr>
                <w:sz w:val="24"/>
                <w:szCs w:val="24"/>
              </w:rPr>
            </w:pPr>
            <w:r>
              <w:rPr>
                <w:sz w:val="24"/>
                <w:szCs w:val="24"/>
              </w:rPr>
              <w:t>$</w:t>
            </w:r>
          </w:p>
        </w:tc>
        <w:tc>
          <w:tcPr>
            <w:tcW w:w="7730" w:type="dxa"/>
            <w:tcBorders>
              <w:top w:val="single" w:sz="4" w:space="0" w:color="004B8D"/>
              <w:left w:val="single" w:sz="4" w:space="0" w:color="004B8D"/>
              <w:bottom w:val="single" w:sz="4" w:space="0" w:color="004B8D"/>
              <w:right w:val="single" w:sz="4" w:space="0" w:color="004B8D"/>
            </w:tcBorders>
          </w:tcPr>
          <w:p w14:paraId="6BDC6BBB" w14:textId="77777777" w:rsidR="00271A3E" w:rsidRDefault="00E84E44">
            <w:pPr>
              <w:spacing w:before="80"/>
              <w:ind w:left="101"/>
              <w:rPr>
                <w:sz w:val="24"/>
                <w:szCs w:val="24"/>
              </w:rPr>
            </w:pPr>
            <w:r>
              <w:rPr>
                <w:sz w:val="24"/>
                <w:szCs w:val="24"/>
              </w:rPr>
              <w:t>Employer contributions to 403(b)(9) plans, tax-sheltered annuity plans, and equity allowances.</w:t>
            </w:r>
          </w:p>
        </w:tc>
      </w:tr>
      <w:tr w:rsidR="00271A3E" w14:paraId="654FF18E" w14:textId="77777777">
        <w:trPr>
          <w:trHeight w:val="1714"/>
        </w:trPr>
        <w:tc>
          <w:tcPr>
            <w:tcW w:w="431" w:type="dxa"/>
            <w:tcBorders>
              <w:top w:val="single" w:sz="4" w:space="0" w:color="004B8D"/>
              <w:left w:val="single" w:sz="4" w:space="0" w:color="004B8D"/>
              <w:bottom w:val="single" w:sz="4" w:space="0" w:color="004B8D"/>
              <w:right w:val="single" w:sz="4" w:space="0" w:color="004B8D"/>
            </w:tcBorders>
          </w:tcPr>
          <w:p w14:paraId="4FB5A3D8" w14:textId="77777777" w:rsidR="00271A3E" w:rsidRDefault="00E84E44">
            <w:pPr>
              <w:spacing w:before="83"/>
              <w:ind w:left="100"/>
              <w:rPr>
                <w:b/>
                <w:sz w:val="24"/>
                <w:szCs w:val="24"/>
              </w:rPr>
            </w:pPr>
            <w:r>
              <w:rPr>
                <w:b/>
                <w:sz w:val="24"/>
                <w:szCs w:val="24"/>
              </w:rPr>
              <w:t>4.</w:t>
            </w:r>
          </w:p>
        </w:tc>
        <w:tc>
          <w:tcPr>
            <w:tcW w:w="1908" w:type="dxa"/>
            <w:tcBorders>
              <w:top w:val="single" w:sz="4" w:space="0" w:color="004B8D"/>
              <w:left w:val="single" w:sz="4" w:space="0" w:color="004B8D"/>
              <w:bottom w:val="single" w:sz="4" w:space="0" w:color="004B8D"/>
              <w:right w:val="single" w:sz="4" w:space="0" w:color="004B8D"/>
            </w:tcBorders>
          </w:tcPr>
          <w:p w14:paraId="065B7070" w14:textId="77777777" w:rsidR="00271A3E" w:rsidRDefault="00E84E44">
            <w:pPr>
              <w:spacing w:before="80"/>
              <w:ind w:left="100"/>
              <w:rPr>
                <w:sz w:val="24"/>
                <w:szCs w:val="24"/>
              </w:rPr>
            </w:pPr>
            <w:r>
              <w:rPr>
                <w:sz w:val="24"/>
                <w:szCs w:val="24"/>
              </w:rPr>
              <w:t>$</w:t>
            </w:r>
          </w:p>
        </w:tc>
        <w:tc>
          <w:tcPr>
            <w:tcW w:w="7730" w:type="dxa"/>
            <w:tcBorders>
              <w:top w:val="single" w:sz="4" w:space="0" w:color="004B8D"/>
              <w:left w:val="single" w:sz="4" w:space="0" w:color="004B8D"/>
              <w:bottom w:val="single" w:sz="4" w:space="0" w:color="004B8D"/>
              <w:right w:val="single" w:sz="4" w:space="0" w:color="004B8D"/>
            </w:tcBorders>
          </w:tcPr>
          <w:p w14:paraId="7CF5306E" w14:textId="77777777" w:rsidR="00271A3E" w:rsidRDefault="00E84E44">
            <w:pPr>
              <w:spacing w:before="86" w:line="232" w:lineRule="auto"/>
              <w:ind w:left="101" w:right="84"/>
              <w:jc w:val="both"/>
              <w:rPr>
                <w:sz w:val="24"/>
                <w:szCs w:val="24"/>
              </w:rPr>
            </w:pPr>
            <w:r>
              <w:rPr>
                <w:sz w:val="24"/>
                <w:szCs w:val="24"/>
              </w:rPr>
              <w:t>Bonuses, overtime pay, unvouchered professional expense allowances, gifts from employer, and manse equity allowances (unless contributed to a qualified deferred compensation program). Include year-end or other bonuses, unvouchered allowances (e.g., expense</w:t>
            </w:r>
            <w:r>
              <w:rPr>
                <w:sz w:val="24"/>
                <w:szCs w:val="24"/>
              </w:rPr>
              <w:t>s that are not paid through an accountable reimbursement plan), down payment grants for purchase of a home, savings from interest-free or interest-reduced loans (not loan principal), and gifts paid by the employer. (Gifts received directly from private don</w:t>
            </w:r>
            <w:r>
              <w:rPr>
                <w:sz w:val="24"/>
                <w:szCs w:val="24"/>
              </w:rPr>
              <w:t>ors or honoraria are not included.)</w:t>
            </w:r>
          </w:p>
        </w:tc>
      </w:tr>
      <w:tr w:rsidR="00271A3E" w14:paraId="6961E5D4" w14:textId="77777777">
        <w:trPr>
          <w:trHeight w:val="997"/>
        </w:trPr>
        <w:tc>
          <w:tcPr>
            <w:tcW w:w="431" w:type="dxa"/>
            <w:tcBorders>
              <w:top w:val="single" w:sz="4" w:space="0" w:color="004B8D"/>
              <w:left w:val="single" w:sz="4" w:space="0" w:color="004B8D"/>
              <w:bottom w:val="single" w:sz="4" w:space="0" w:color="004B8D"/>
              <w:right w:val="single" w:sz="4" w:space="0" w:color="004B8D"/>
            </w:tcBorders>
          </w:tcPr>
          <w:p w14:paraId="46F2CFB1" w14:textId="77777777" w:rsidR="00271A3E" w:rsidRDefault="00E84E44">
            <w:pPr>
              <w:spacing w:before="83"/>
              <w:ind w:left="100"/>
              <w:rPr>
                <w:b/>
                <w:sz w:val="24"/>
                <w:szCs w:val="24"/>
              </w:rPr>
            </w:pPr>
            <w:r>
              <w:rPr>
                <w:b/>
                <w:sz w:val="24"/>
                <w:szCs w:val="24"/>
              </w:rPr>
              <w:t>5.</w:t>
            </w:r>
          </w:p>
        </w:tc>
        <w:tc>
          <w:tcPr>
            <w:tcW w:w="1908" w:type="dxa"/>
            <w:tcBorders>
              <w:top w:val="single" w:sz="4" w:space="0" w:color="004B8D"/>
              <w:left w:val="single" w:sz="4" w:space="0" w:color="004B8D"/>
              <w:bottom w:val="single" w:sz="4" w:space="0" w:color="004B8D"/>
              <w:right w:val="single" w:sz="4" w:space="0" w:color="004B8D"/>
            </w:tcBorders>
          </w:tcPr>
          <w:p w14:paraId="6C16A3D9" w14:textId="77777777" w:rsidR="00271A3E" w:rsidRDefault="00E84E44">
            <w:pPr>
              <w:spacing w:before="80"/>
              <w:ind w:left="100"/>
              <w:rPr>
                <w:sz w:val="24"/>
                <w:szCs w:val="24"/>
              </w:rPr>
            </w:pPr>
            <w:r>
              <w:rPr>
                <w:sz w:val="24"/>
                <w:szCs w:val="24"/>
              </w:rPr>
              <w:t>$</w:t>
            </w:r>
          </w:p>
        </w:tc>
        <w:tc>
          <w:tcPr>
            <w:tcW w:w="7730" w:type="dxa"/>
            <w:tcBorders>
              <w:top w:val="single" w:sz="4" w:space="0" w:color="004B8D"/>
              <w:left w:val="single" w:sz="4" w:space="0" w:color="004B8D"/>
              <w:bottom w:val="single" w:sz="4" w:space="0" w:color="004B8D"/>
              <w:right w:val="single" w:sz="4" w:space="0" w:color="004B8D"/>
            </w:tcBorders>
          </w:tcPr>
          <w:p w14:paraId="3B98A0E9" w14:textId="77777777" w:rsidR="00271A3E" w:rsidRDefault="00E84E44">
            <w:pPr>
              <w:spacing w:before="86" w:line="232" w:lineRule="auto"/>
              <w:ind w:left="101"/>
              <w:rPr>
                <w:sz w:val="24"/>
                <w:szCs w:val="24"/>
              </w:rPr>
            </w:pPr>
            <w:r>
              <w:rPr>
                <w:sz w:val="24"/>
                <w:szCs w:val="24"/>
              </w:rPr>
              <w:t xml:space="preserve">Any allowance provided to reimburse SECA tax obligations </w:t>
            </w:r>
            <w:proofErr w:type="gramStart"/>
            <w:r>
              <w:rPr>
                <w:sz w:val="24"/>
                <w:szCs w:val="24"/>
              </w:rPr>
              <w:t>in excess of</w:t>
            </w:r>
            <w:proofErr w:type="gramEnd"/>
            <w:r>
              <w:rPr>
                <w:sz w:val="24"/>
                <w:szCs w:val="24"/>
              </w:rPr>
              <w:t xml:space="preserve"> 50 percent of the minister’s SECA tax obligation.</w:t>
            </w:r>
          </w:p>
        </w:tc>
      </w:tr>
      <w:tr w:rsidR="00271A3E" w14:paraId="70FFC084" w14:textId="77777777">
        <w:trPr>
          <w:trHeight w:val="1194"/>
        </w:trPr>
        <w:tc>
          <w:tcPr>
            <w:tcW w:w="431" w:type="dxa"/>
            <w:tcBorders>
              <w:top w:val="single" w:sz="4" w:space="0" w:color="004B8D"/>
              <w:left w:val="single" w:sz="4" w:space="0" w:color="004B8D"/>
              <w:bottom w:val="single" w:sz="4" w:space="0" w:color="004B8D"/>
              <w:right w:val="single" w:sz="4" w:space="0" w:color="004B8D"/>
            </w:tcBorders>
          </w:tcPr>
          <w:p w14:paraId="6BBAF863" w14:textId="77777777" w:rsidR="00271A3E" w:rsidRDefault="00E84E44">
            <w:pPr>
              <w:spacing w:before="83"/>
              <w:ind w:left="100"/>
              <w:rPr>
                <w:b/>
                <w:sz w:val="24"/>
                <w:szCs w:val="24"/>
              </w:rPr>
            </w:pPr>
            <w:r>
              <w:rPr>
                <w:b/>
                <w:sz w:val="24"/>
                <w:szCs w:val="24"/>
              </w:rPr>
              <w:t>6.</w:t>
            </w:r>
          </w:p>
        </w:tc>
        <w:tc>
          <w:tcPr>
            <w:tcW w:w="1908" w:type="dxa"/>
            <w:tcBorders>
              <w:top w:val="single" w:sz="4" w:space="0" w:color="004B8D"/>
              <w:left w:val="single" w:sz="4" w:space="0" w:color="004B8D"/>
              <w:bottom w:val="single" w:sz="4" w:space="0" w:color="004B8D"/>
              <w:right w:val="single" w:sz="4" w:space="0" w:color="004B8D"/>
            </w:tcBorders>
          </w:tcPr>
          <w:p w14:paraId="7ED7F043" w14:textId="77777777" w:rsidR="00271A3E" w:rsidRDefault="00E84E44">
            <w:pPr>
              <w:spacing w:before="80"/>
              <w:ind w:left="100"/>
              <w:rPr>
                <w:sz w:val="24"/>
                <w:szCs w:val="24"/>
              </w:rPr>
            </w:pPr>
            <w:r>
              <w:rPr>
                <w:sz w:val="24"/>
                <w:szCs w:val="24"/>
              </w:rPr>
              <w:t>$</w:t>
            </w:r>
          </w:p>
        </w:tc>
        <w:tc>
          <w:tcPr>
            <w:tcW w:w="7730" w:type="dxa"/>
            <w:tcBorders>
              <w:top w:val="single" w:sz="4" w:space="0" w:color="004B8D"/>
              <w:left w:val="single" w:sz="4" w:space="0" w:color="004B8D"/>
              <w:bottom w:val="single" w:sz="4" w:space="0" w:color="004B8D"/>
              <w:right w:val="single" w:sz="4" w:space="0" w:color="004B8D"/>
            </w:tcBorders>
          </w:tcPr>
          <w:p w14:paraId="3D2935BF" w14:textId="77777777" w:rsidR="00271A3E" w:rsidRDefault="00E84E44">
            <w:pPr>
              <w:spacing w:before="86" w:line="232" w:lineRule="auto"/>
              <w:ind w:left="101" w:right="85"/>
              <w:jc w:val="both"/>
              <w:rPr>
                <w:sz w:val="24"/>
                <w:szCs w:val="24"/>
              </w:rPr>
            </w:pPr>
            <w:r>
              <w:rPr>
                <w:sz w:val="24"/>
                <w:szCs w:val="24"/>
              </w:rPr>
              <w:t>Other allowances, including all forms of compensation not otherwise covered on Lines 1-5, such as medical deductible and medical expense reimbursement allowances not paid through a group benefit plan, and insurance premiums for additional insurance coverag</w:t>
            </w:r>
            <w:r>
              <w:rPr>
                <w:sz w:val="24"/>
                <w:szCs w:val="24"/>
              </w:rPr>
              <w:t>e provided for individual employees (not premiums for group plan coverage).</w:t>
            </w:r>
          </w:p>
        </w:tc>
      </w:tr>
      <w:tr w:rsidR="00271A3E" w14:paraId="229C2CD4" w14:textId="77777777">
        <w:trPr>
          <w:trHeight w:val="980"/>
        </w:trPr>
        <w:tc>
          <w:tcPr>
            <w:tcW w:w="431" w:type="dxa"/>
            <w:tcBorders>
              <w:top w:val="single" w:sz="4" w:space="0" w:color="004B8D"/>
              <w:left w:val="single" w:sz="4" w:space="0" w:color="004B8D"/>
              <w:bottom w:val="single" w:sz="18" w:space="0" w:color="004B8D"/>
              <w:right w:val="single" w:sz="4" w:space="0" w:color="004B8D"/>
            </w:tcBorders>
          </w:tcPr>
          <w:p w14:paraId="1E8989E2" w14:textId="77777777" w:rsidR="00271A3E" w:rsidRDefault="00E84E44">
            <w:pPr>
              <w:spacing w:before="83"/>
              <w:ind w:left="100"/>
              <w:rPr>
                <w:b/>
                <w:sz w:val="24"/>
                <w:szCs w:val="24"/>
              </w:rPr>
            </w:pPr>
            <w:r>
              <w:rPr>
                <w:b/>
                <w:sz w:val="24"/>
                <w:szCs w:val="24"/>
              </w:rPr>
              <w:t>7.</w:t>
            </w:r>
          </w:p>
        </w:tc>
        <w:tc>
          <w:tcPr>
            <w:tcW w:w="1908" w:type="dxa"/>
            <w:tcBorders>
              <w:top w:val="single" w:sz="4" w:space="0" w:color="004B8D"/>
              <w:left w:val="single" w:sz="4" w:space="0" w:color="004B8D"/>
              <w:bottom w:val="single" w:sz="18" w:space="0" w:color="004B8D"/>
              <w:right w:val="single" w:sz="4" w:space="0" w:color="004B8D"/>
            </w:tcBorders>
          </w:tcPr>
          <w:p w14:paraId="1D7B5562" w14:textId="77777777" w:rsidR="00271A3E" w:rsidRDefault="00E84E44">
            <w:pPr>
              <w:spacing w:before="80"/>
              <w:ind w:left="100"/>
              <w:rPr>
                <w:sz w:val="24"/>
                <w:szCs w:val="24"/>
              </w:rPr>
            </w:pPr>
            <w:r>
              <w:rPr>
                <w:sz w:val="24"/>
                <w:szCs w:val="24"/>
              </w:rPr>
              <w:t>$</w:t>
            </w:r>
          </w:p>
        </w:tc>
        <w:tc>
          <w:tcPr>
            <w:tcW w:w="7730" w:type="dxa"/>
            <w:tcBorders>
              <w:top w:val="single" w:sz="4" w:space="0" w:color="004B8D"/>
              <w:left w:val="single" w:sz="4" w:space="0" w:color="004B8D"/>
              <w:bottom w:val="single" w:sz="18" w:space="0" w:color="004B8D"/>
              <w:right w:val="single" w:sz="4" w:space="0" w:color="004B8D"/>
            </w:tcBorders>
          </w:tcPr>
          <w:p w14:paraId="1F873F82" w14:textId="77777777" w:rsidR="00271A3E" w:rsidRDefault="00E84E44">
            <w:pPr>
              <w:spacing w:before="80"/>
              <w:ind w:left="101"/>
              <w:rPr>
                <w:sz w:val="24"/>
                <w:szCs w:val="24"/>
              </w:rPr>
            </w:pPr>
            <w:r>
              <w:rPr>
                <w:sz w:val="24"/>
                <w:szCs w:val="24"/>
              </w:rPr>
              <w:t>Manse amount (must be at least 30 percent of lines 1-6 for members residing in employer-provided housing).</w:t>
            </w:r>
          </w:p>
        </w:tc>
      </w:tr>
      <w:tr w:rsidR="00271A3E" w14:paraId="7CCEBA39" w14:textId="77777777">
        <w:trPr>
          <w:trHeight w:val="980"/>
        </w:trPr>
        <w:tc>
          <w:tcPr>
            <w:tcW w:w="431" w:type="dxa"/>
            <w:tcBorders>
              <w:top w:val="single" w:sz="18" w:space="0" w:color="004B8D"/>
              <w:left w:val="single" w:sz="4" w:space="0" w:color="004B8D"/>
              <w:bottom w:val="single" w:sz="4" w:space="0" w:color="004B8D"/>
              <w:right w:val="single" w:sz="4" w:space="0" w:color="004B8D"/>
            </w:tcBorders>
          </w:tcPr>
          <w:p w14:paraId="5C70893F" w14:textId="77777777" w:rsidR="00271A3E" w:rsidRDefault="00E84E44">
            <w:pPr>
              <w:spacing w:before="66"/>
              <w:ind w:left="100"/>
              <w:rPr>
                <w:b/>
                <w:sz w:val="24"/>
                <w:szCs w:val="24"/>
              </w:rPr>
            </w:pPr>
            <w:r>
              <w:rPr>
                <w:b/>
                <w:sz w:val="24"/>
                <w:szCs w:val="24"/>
              </w:rPr>
              <w:t>8.</w:t>
            </w:r>
          </w:p>
        </w:tc>
        <w:tc>
          <w:tcPr>
            <w:tcW w:w="1908" w:type="dxa"/>
            <w:tcBorders>
              <w:top w:val="single" w:sz="18" w:space="0" w:color="004B8D"/>
              <w:left w:val="single" w:sz="4" w:space="0" w:color="004B8D"/>
              <w:bottom w:val="single" w:sz="4" w:space="0" w:color="004B8D"/>
              <w:right w:val="single" w:sz="4" w:space="0" w:color="004B8D"/>
            </w:tcBorders>
          </w:tcPr>
          <w:p w14:paraId="644E139F" w14:textId="77777777" w:rsidR="00271A3E" w:rsidRDefault="00E84E44">
            <w:pPr>
              <w:spacing w:before="62"/>
              <w:ind w:left="100"/>
              <w:rPr>
                <w:sz w:val="24"/>
                <w:szCs w:val="24"/>
              </w:rPr>
            </w:pPr>
            <w:r>
              <w:rPr>
                <w:sz w:val="24"/>
                <w:szCs w:val="24"/>
              </w:rPr>
              <w:t>$</w:t>
            </w:r>
          </w:p>
        </w:tc>
        <w:tc>
          <w:tcPr>
            <w:tcW w:w="7730" w:type="dxa"/>
            <w:tcBorders>
              <w:top w:val="single" w:sz="18" w:space="0" w:color="004B8D"/>
              <w:left w:val="single" w:sz="4" w:space="0" w:color="004B8D"/>
              <w:bottom w:val="single" w:sz="4" w:space="0" w:color="004B8D"/>
              <w:right w:val="single" w:sz="4" w:space="0" w:color="004B8D"/>
            </w:tcBorders>
          </w:tcPr>
          <w:p w14:paraId="22539D85" w14:textId="77777777" w:rsidR="00271A3E" w:rsidRDefault="00E84E44">
            <w:pPr>
              <w:spacing w:before="69" w:line="232" w:lineRule="auto"/>
              <w:ind w:left="101" w:right="440"/>
              <w:rPr>
                <w:sz w:val="24"/>
                <w:szCs w:val="24"/>
              </w:rPr>
            </w:pPr>
            <w:r>
              <w:rPr>
                <w:b/>
                <w:sz w:val="24"/>
                <w:szCs w:val="24"/>
              </w:rPr>
              <w:t xml:space="preserve">Total effective salary (sum of lines 1-7). </w:t>
            </w:r>
            <w:r>
              <w:rPr>
                <w:sz w:val="24"/>
                <w:szCs w:val="24"/>
              </w:rPr>
              <w:t>Dues are computed and benefits are determined based on this amount.</w:t>
            </w:r>
          </w:p>
        </w:tc>
      </w:tr>
    </w:tbl>
    <w:p w14:paraId="21CB24C7" w14:textId="77777777" w:rsidR="00271A3E" w:rsidRDefault="00271A3E">
      <w:pPr>
        <w:rPr>
          <w:sz w:val="24"/>
          <w:szCs w:val="24"/>
        </w:rPr>
      </w:pPr>
    </w:p>
    <w:sectPr w:rsidR="00271A3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6072" w14:textId="77777777" w:rsidR="00000000" w:rsidRDefault="00E84E44">
      <w:r>
        <w:separator/>
      </w:r>
    </w:p>
  </w:endnote>
  <w:endnote w:type="continuationSeparator" w:id="0">
    <w:p w14:paraId="4A5FA85D" w14:textId="77777777" w:rsidR="00000000" w:rsidRDefault="00E8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5657" w14:textId="77777777" w:rsidR="00271A3E" w:rsidRDefault="00E84E4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9701F6C" w14:textId="77777777" w:rsidR="00271A3E" w:rsidRDefault="00271A3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B971" w14:textId="77777777" w:rsidR="00000000" w:rsidRDefault="00E84E44">
      <w:r>
        <w:separator/>
      </w:r>
    </w:p>
  </w:footnote>
  <w:footnote w:type="continuationSeparator" w:id="0">
    <w:p w14:paraId="50F045E3" w14:textId="77777777" w:rsidR="00000000" w:rsidRDefault="00E84E44">
      <w:r>
        <w:continuationSeparator/>
      </w:r>
    </w:p>
  </w:footnote>
  <w:footnote w:id="1">
    <w:p w14:paraId="6F687D80" w14:textId="77777777" w:rsidR="00271A3E" w:rsidRDefault="00E84E44">
      <w:pPr>
        <w:pBdr>
          <w:top w:val="nil"/>
          <w:left w:val="nil"/>
          <w:bottom w:val="nil"/>
          <w:right w:val="nil"/>
          <w:between w:val="nil"/>
        </w:pBdr>
        <w:ind w:left="-90"/>
        <w:rPr>
          <w:color w:val="000000"/>
          <w:sz w:val="20"/>
          <w:szCs w:val="20"/>
        </w:rPr>
      </w:pPr>
      <w:r>
        <w:rPr>
          <w:vertAlign w:val="superscript"/>
        </w:rPr>
        <w:footnoteRef/>
      </w:r>
      <w:r>
        <w:rPr>
          <w:color w:val="000000"/>
          <w:sz w:val="20"/>
          <w:szCs w:val="20"/>
        </w:rPr>
        <w:t xml:space="preserve"> Ministers called by congregations are considered by the IRS to be “employees” for federal income tax purposes but “self-employed” for purposes of social security taxation, and are required to pay quarterly estimated Federal income taxes and SECA taxes.  H</w:t>
      </w:r>
      <w:r>
        <w:rPr>
          <w:color w:val="000000"/>
          <w:sz w:val="20"/>
          <w:szCs w:val="20"/>
        </w:rPr>
        <w:t>ence ministers pay the full 15.3% for social security coverage.  Since employed persons pay only one-half of that, the policy of Presbytery is to include a reimbursement by the church of half (7.65%) of the SECA tax in the terms of call.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55FC9"/>
    <w:multiLevelType w:val="multilevel"/>
    <w:tmpl w:val="D37241F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3E"/>
    <w:rsid w:val="00271A3E"/>
    <w:rsid w:val="00E8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085B"/>
  <w15:docId w15:val="{284D22C8-441C-4141-B07F-243824A0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8058</Characters>
  <Application>Microsoft Office Word</Application>
  <DocSecurity>4</DocSecurity>
  <Lines>67</Lines>
  <Paragraphs>18</Paragraphs>
  <ScaleCrop>false</ScaleCrop>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TStrickland</dc:creator>
  <cp:lastModifiedBy>Tammy Strickland</cp:lastModifiedBy>
  <cp:revision>2</cp:revision>
  <dcterms:created xsi:type="dcterms:W3CDTF">2021-05-04T15:56:00Z</dcterms:created>
  <dcterms:modified xsi:type="dcterms:W3CDTF">2021-05-04T15:56:00Z</dcterms:modified>
</cp:coreProperties>
</file>